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A5702">
      <w:pPr>
        <w:pageBreakBefore w:val="0"/>
        <w:kinsoku/>
        <w:wordWrap/>
        <w:overflowPunct/>
        <w:topLinePunct w:val="0"/>
        <w:autoSpaceDE/>
        <w:autoSpaceDN/>
        <w:bidi w:val="0"/>
        <w:spacing w:line="240" w:lineRule="auto"/>
        <w:ind w:left="0" w:leftChars="0"/>
        <w:jc w:val="both"/>
        <w:textAlignment w:val="auto"/>
        <w:rPr>
          <w:rFonts w:hint="default" w:ascii="楷体" w:hAnsi="楷体" w:eastAsia="楷体" w:cs="楷体"/>
          <w:b/>
          <w:bCs/>
          <w:color w:val="000000" w:themeColor="text1"/>
          <w:sz w:val="24"/>
          <w:szCs w:val="24"/>
          <w:lang w:val="en-US" w:eastAsia="zh-CN"/>
          <w14:textFill>
            <w14:solidFill>
              <w14:schemeClr w14:val="tx1"/>
            </w14:solidFill>
          </w14:textFill>
        </w:rPr>
      </w:pPr>
      <w:r>
        <w:rPr>
          <w:rFonts w:hint="eastAsia" w:ascii="楷体" w:hAnsi="楷体" w:eastAsia="楷体" w:cs="楷体"/>
          <w:b/>
          <w:bCs/>
          <w:color w:val="000000" w:themeColor="text1"/>
          <w:sz w:val="24"/>
          <w:szCs w:val="24"/>
          <w:lang w:eastAsia="zh-CN"/>
          <w14:textFill>
            <w14:solidFill>
              <w14:schemeClr w14:val="tx1"/>
            </w14:solidFill>
          </w14:textFill>
        </w:rPr>
        <w:t>爱民区政协九届六次会议文件之</w:t>
      </w:r>
      <w:r>
        <w:rPr>
          <w:rFonts w:hint="eastAsia" w:ascii="楷体" w:hAnsi="楷体" w:eastAsia="楷体" w:cs="楷体"/>
          <w:b/>
          <w:bCs/>
          <w:color w:val="000000" w:themeColor="text1"/>
          <w:sz w:val="24"/>
          <w:szCs w:val="24"/>
          <w:lang w:val="en-US" w:eastAsia="zh-CN"/>
          <w14:textFill>
            <w14:solidFill>
              <w14:schemeClr w14:val="tx1"/>
            </w14:solidFill>
          </w14:textFill>
        </w:rPr>
        <w:t>6</w:t>
      </w:r>
    </w:p>
    <w:p w14:paraId="129162C5">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48"/>
          <w:szCs w:val="48"/>
          <w14:textFill>
            <w14:solidFill>
              <w14:schemeClr w14:val="tx1"/>
            </w14:solidFill>
          </w14:textFill>
        </w:rPr>
      </w:pPr>
    </w:p>
    <w:p w14:paraId="057FB11E">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48"/>
          <w:szCs w:val="48"/>
          <w14:textFill>
            <w14:solidFill>
              <w14:schemeClr w14:val="tx1"/>
            </w14:solidFill>
          </w14:textFill>
        </w:rPr>
      </w:pPr>
      <w:r>
        <w:rPr>
          <w:rFonts w:ascii="Times New Roman" w:hAnsi="Times New Roman" w:eastAsia="华文中宋" w:cs="Times New Roman"/>
          <w:b/>
          <w:bCs/>
          <w:color w:val="000000" w:themeColor="text1"/>
          <w:sz w:val="48"/>
          <w:szCs w:val="48"/>
          <w14:textFill>
            <w14:solidFill>
              <w14:schemeClr w14:val="tx1"/>
            </w14:solidFill>
          </w14:textFill>
        </w:rPr>
        <w:t>牡丹江市</w:t>
      </w:r>
      <w:r>
        <w:rPr>
          <w:rFonts w:hint="eastAsia" w:ascii="Times New Roman" w:hAnsi="Times New Roman" w:eastAsia="华文中宋" w:cs="Times New Roman"/>
          <w:b/>
          <w:bCs/>
          <w:color w:val="000000" w:themeColor="text1"/>
          <w:sz w:val="48"/>
          <w:szCs w:val="48"/>
          <w:lang w:eastAsia="zh-CN"/>
          <w14:textFill>
            <w14:solidFill>
              <w14:schemeClr w14:val="tx1"/>
            </w14:solidFill>
          </w14:textFill>
        </w:rPr>
        <w:t>爱民区</w:t>
      </w:r>
      <w:r>
        <w:rPr>
          <w:rFonts w:ascii="Times New Roman" w:hAnsi="Times New Roman" w:eastAsia="华文中宋" w:cs="Times New Roman"/>
          <w:b/>
          <w:bCs/>
          <w:color w:val="000000" w:themeColor="text1"/>
          <w:sz w:val="48"/>
          <w:szCs w:val="48"/>
          <w14:textFill>
            <w14:solidFill>
              <w14:schemeClr w14:val="tx1"/>
            </w14:solidFill>
          </w14:textFill>
        </w:rPr>
        <w:t>国民经济和社会发展</w:t>
      </w:r>
    </w:p>
    <w:p w14:paraId="0006485B">
      <w:pPr>
        <w:pageBreakBefore w:val="0"/>
        <w:kinsoku/>
        <w:wordWrap/>
        <w:overflowPunct/>
        <w:topLinePunct w:val="0"/>
        <w:autoSpaceDE/>
        <w:autoSpaceDN/>
        <w:bidi w:val="0"/>
        <w:spacing w:line="240" w:lineRule="auto"/>
        <w:ind w:left="0" w:leftChars="0"/>
        <w:jc w:val="center"/>
        <w:textAlignment w:val="auto"/>
        <w:rPr>
          <w:rFonts w:hint="eastAsia" w:ascii="Times New Roman" w:hAnsi="Times New Roman" w:eastAsia="华文中宋" w:cs="Times New Roman"/>
          <w:b/>
          <w:bCs/>
          <w:color w:val="000000" w:themeColor="text1"/>
          <w:sz w:val="48"/>
          <w:szCs w:val="48"/>
          <w14:textFill>
            <w14:solidFill>
              <w14:schemeClr w14:val="tx1"/>
            </w14:solidFill>
          </w14:textFill>
        </w:rPr>
      </w:pPr>
      <w:r>
        <w:rPr>
          <w:rFonts w:ascii="Times New Roman" w:hAnsi="Times New Roman" w:eastAsia="华文中宋" w:cs="Times New Roman"/>
          <w:b/>
          <w:bCs/>
          <w:color w:val="000000" w:themeColor="text1"/>
          <w:sz w:val="48"/>
          <w:szCs w:val="48"/>
          <w14:textFill>
            <w14:solidFill>
              <w14:schemeClr w14:val="tx1"/>
            </w14:solidFill>
          </w14:textFill>
        </w:rPr>
        <w:t>第十四个五年规划纲要</w:t>
      </w:r>
      <w:r>
        <w:rPr>
          <w:rFonts w:hint="eastAsia" w:ascii="Times New Roman" w:hAnsi="Times New Roman" w:eastAsia="华文中宋" w:cs="Times New Roman"/>
          <w:b/>
          <w:bCs/>
          <w:color w:val="000000" w:themeColor="text1"/>
          <w:sz w:val="48"/>
          <w:szCs w:val="48"/>
          <w14:textFill>
            <w14:solidFill>
              <w14:schemeClr w14:val="tx1"/>
            </w14:solidFill>
          </w14:textFill>
        </w:rPr>
        <w:t>和二〇三五年</w:t>
      </w:r>
    </w:p>
    <w:p w14:paraId="5289618B">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48"/>
          <w:szCs w:val="48"/>
          <w14:textFill>
            <w14:solidFill>
              <w14:schemeClr w14:val="tx1"/>
            </w14:solidFill>
          </w14:textFill>
        </w:rPr>
      </w:pPr>
      <w:r>
        <w:rPr>
          <w:rFonts w:hint="eastAsia" w:ascii="Times New Roman" w:hAnsi="Times New Roman" w:eastAsia="华文中宋" w:cs="Times New Roman"/>
          <w:b/>
          <w:bCs/>
          <w:color w:val="000000" w:themeColor="text1"/>
          <w:sz w:val="48"/>
          <w:szCs w:val="48"/>
          <w14:textFill>
            <w14:solidFill>
              <w14:schemeClr w14:val="tx1"/>
            </w14:solidFill>
          </w14:textFill>
        </w:rPr>
        <w:t>远景目标</w:t>
      </w:r>
    </w:p>
    <w:p w14:paraId="3AB85366">
      <w:pPr>
        <w:pageBreakBefore w:val="0"/>
        <w:widowControl/>
        <w:kinsoku/>
        <w:wordWrap/>
        <w:overflowPunct/>
        <w:topLinePunct w:val="0"/>
        <w:autoSpaceDE/>
        <w:autoSpaceDN/>
        <w:bidi w:val="0"/>
        <w:spacing w:line="240" w:lineRule="auto"/>
        <w:ind w:left="0" w:leftChars="0"/>
        <w:jc w:val="center"/>
        <w:textAlignment w:val="auto"/>
        <w:rPr>
          <w:rFonts w:ascii="Times New Roman" w:hAnsi="Times New Roman" w:cs="Times New Roman"/>
          <w:b w:val="0"/>
          <w:bCs w:val="0"/>
          <w:color w:val="000000" w:themeColor="text1"/>
          <w:kern w:val="0"/>
          <w:sz w:val="27"/>
          <w:szCs w:val="27"/>
          <w14:textFill>
            <w14:solidFill>
              <w14:schemeClr w14:val="tx1"/>
            </w14:solidFill>
          </w14:textFill>
        </w:rPr>
      </w:pPr>
      <w:r>
        <w:rPr>
          <w:rFonts w:ascii="Times New Roman" w:hAnsi="Times New Roman" w:cs="Times New Roman"/>
          <w:b w:val="0"/>
          <w:bCs w:val="0"/>
          <w:color w:val="000000" w:themeColor="text1"/>
          <w:kern w:val="0"/>
          <w:sz w:val="48"/>
          <w:szCs w:val="48"/>
          <w14:textFill>
            <w14:solidFill>
              <w14:schemeClr w14:val="tx1"/>
            </w14:solidFill>
          </w14:textFill>
        </w:rPr>
        <w:t>（2021—2025</w:t>
      </w:r>
      <w:r>
        <w:rPr>
          <w:rFonts w:ascii="Times New Roman" w:hAnsi="Times New Roman" w:cs="Times New Roman"/>
          <w:b/>
          <w:bCs/>
          <w:color w:val="000000" w:themeColor="text1"/>
          <w:kern w:val="0"/>
          <w:sz w:val="48"/>
          <w:szCs w:val="48"/>
          <w14:textFill>
            <w14:solidFill>
              <w14:schemeClr w14:val="tx1"/>
            </w14:solidFill>
          </w14:textFill>
        </w:rPr>
        <w:t>年）</w:t>
      </w:r>
    </w:p>
    <w:p w14:paraId="6D65F324">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48"/>
          <w:szCs w:val="48"/>
          <w14:textFill>
            <w14:solidFill>
              <w14:schemeClr w14:val="tx1"/>
            </w14:solidFill>
          </w14:textFill>
        </w:rPr>
      </w:pPr>
    </w:p>
    <w:p w14:paraId="68486200">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24"/>
          <w:szCs w:val="24"/>
          <w14:textFill>
            <w14:solidFill>
              <w14:schemeClr w14:val="tx1"/>
            </w14:solidFill>
          </w14:textFill>
        </w:rPr>
      </w:pPr>
      <w:r>
        <w:rPr>
          <w:rFonts w:ascii="Times New Roman" w:hAnsi="Times New Roman" w:eastAsia="华文中宋" w:cs="Times New Roman"/>
          <w:b/>
          <w:bCs/>
          <w:color w:val="000000" w:themeColor="text1"/>
          <w:sz w:val="36"/>
          <w:szCs w:val="36"/>
          <w14:textFill>
            <w14:solidFill>
              <w14:schemeClr w14:val="tx1"/>
            </w14:solidFill>
          </w14:textFill>
        </w:rPr>
        <w:t>（</w:t>
      </w:r>
      <w:r>
        <w:rPr>
          <w:rFonts w:hint="eastAsia" w:ascii="Times New Roman" w:hAnsi="Times New Roman" w:eastAsia="华文中宋" w:cs="Times New Roman"/>
          <w:b/>
          <w:bCs/>
          <w:color w:val="000000" w:themeColor="text1"/>
          <w:sz w:val="36"/>
          <w:szCs w:val="36"/>
          <w:lang w:eastAsia="zh-CN"/>
          <w14:textFill>
            <w14:solidFill>
              <w14:schemeClr w14:val="tx1"/>
            </w14:solidFill>
          </w14:textFill>
        </w:rPr>
        <w:t>协商稿</w:t>
      </w:r>
      <w:r>
        <w:rPr>
          <w:rFonts w:ascii="Times New Roman" w:hAnsi="Times New Roman" w:eastAsia="华文中宋" w:cs="Times New Roman"/>
          <w:b/>
          <w:bCs/>
          <w:color w:val="000000" w:themeColor="text1"/>
          <w:sz w:val="36"/>
          <w:szCs w:val="36"/>
          <w14:textFill>
            <w14:solidFill>
              <w14:schemeClr w14:val="tx1"/>
            </w14:solidFill>
          </w14:textFill>
        </w:rPr>
        <w:t>）</w:t>
      </w:r>
    </w:p>
    <w:p w14:paraId="6F127C34">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26DCC9D6">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7F067237">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58FFA8D8">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699D1F96">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4DF7291C">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0F708C06">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6651D24D">
      <w:pPr>
        <w:rPr>
          <w:rFonts w:ascii="Times New Roman" w:hAnsi="Times New Roman" w:eastAsia="华文中宋" w:cs="Times New Roman"/>
          <w:b/>
          <w:bCs/>
          <w:color w:val="000000" w:themeColor="text1"/>
          <w:sz w:val="30"/>
          <w:szCs w:val="30"/>
          <w14:textFill>
            <w14:solidFill>
              <w14:schemeClr w14:val="tx1"/>
            </w14:solidFill>
          </w14:textFill>
        </w:rPr>
      </w:pPr>
    </w:p>
    <w:p w14:paraId="5B5D5C1F">
      <w:pPr>
        <w:pStyle w:val="5"/>
      </w:pPr>
    </w:p>
    <w:p w14:paraId="5EE64318">
      <w:pPr>
        <w:rPr>
          <w:rFonts w:ascii="Times New Roman" w:hAnsi="Times New Roman" w:eastAsia="华文中宋" w:cs="Times New Roman"/>
          <w:b/>
          <w:bCs/>
          <w:color w:val="000000" w:themeColor="text1"/>
          <w:sz w:val="30"/>
          <w:szCs w:val="30"/>
          <w14:textFill>
            <w14:solidFill>
              <w14:schemeClr w14:val="tx1"/>
            </w14:solidFill>
          </w14:textFill>
        </w:rPr>
      </w:pPr>
    </w:p>
    <w:p w14:paraId="0F744297">
      <w:pPr>
        <w:pageBreakBefore w:val="0"/>
        <w:kinsoku/>
        <w:wordWrap/>
        <w:overflowPunct/>
        <w:topLinePunct w:val="0"/>
        <w:autoSpaceDE/>
        <w:autoSpaceDN/>
        <w:bidi w:val="0"/>
        <w:spacing w:line="240" w:lineRule="auto"/>
        <w:ind w:left="0" w:leftChars="0"/>
        <w:textAlignment w:val="auto"/>
        <w:rPr>
          <w:rFonts w:ascii="Times New Roman" w:hAnsi="Times New Roman" w:eastAsia="华文中宋" w:cs="Times New Roman"/>
          <w:b/>
          <w:bCs/>
          <w:color w:val="000000" w:themeColor="text1"/>
          <w:sz w:val="30"/>
          <w:szCs w:val="30"/>
          <w14:textFill>
            <w14:solidFill>
              <w14:schemeClr w14:val="tx1"/>
            </w14:solidFill>
          </w14:textFill>
        </w:rPr>
      </w:pPr>
    </w:p>
    <w:p w14:paraId="521A1640">
      <w:pPr>
        <w:pStyle w:val="18"/>
        <w:pageBreakBefore w:val="0"/>
        <w:kinsoku/>
        <w:wordWrap/>
        <w:overflowPunct/>
        <w:topLinePunct w:val="0"/>
        <w:autoSpaceDE/>
        <w:autoSpaceDN/>
        <w:bidi w:val="0"/>
        <w:spacing w:before="0" w:after="0" w:line="240" w:lineRule="auto"/>
        <w:ind w:left="0" w:leftChars="0"/>
        <w:textAlignment w:val="auto"/>
      </w:pPr>
    </w:p>
    <w:p w14:paraId="067033B3">
      <w:pPr>
        <w:pageBreakBefore w:val="0"/>
        <w:kinsoku/>
        <w:wordWrap/>
        <w:overflowPunct/>
        <w:topLinePunct w:val="0"/>
        <w:autoSpaceDE/>
        <w:autoSpaceDN/>
        <w:bidi w:val="0"/>
        <w:spacing w:line="240" w:lineRule="auto"/>
        <w:ind w:left="0" w:leftChars="0"/>
        <w:jc w:val="center"/>
        <w:textAlignment w:val="auto"/>
        <w:rPr>
          <w:rFonts w:ascii="Times New Roman" w:hAnsi="Times New Roman" w:eastAsia="华文中宋" w:cs="Times New Roman"/>
          <w:b/>
          <w:bCs/>
          <w:color w:val="000000" w:themeColor="text1"/>
          <w:sz w:val="30"/>
          <w:szCs w:val="30"/>
          <w14:textFill>
            <w14:solidFill>
              <w14:schemeClr w14:val="tx1"/>
            </w14:solidFill>
          </w14:textFill>
        </w:rPr>
      </w:pPr>
      <w:r>
        <w:rPr>
          <w:rFonts w:hint="eastAsia" w:ascii="Times New Roman" w:hAnsi="Times New Roman" w:eastAsia="华文中宋" w:cs="Times New Roman"/>
          <w:b/>
          <w:bCs/>
          <w:color w:val="000000" w:themeColor="text1"/>
          <w:sz w:val="36"/>
          <w:szCs w:val="36"/>
          <w:lang w:eastAsia="zh-CN"/>
          <w14:textFill>
            <w14:solidFill>
              <w14:schemeClr w14:val="tx1"/>
            </w14:solidFill>
          </w14:textFill>
        </w:rPr>
        <w:t>二</w:t>
      </w:r>
      <w:r>
        <w:rPr>
          <w:rFonts w:hint="eastAsia" w:ascii="Times New Roman" w:hAnsi="Times New Roman" w:eastAsia="华文中宋" w:cs="Times New Roman"/>
          <w:b/>
          <w:bCs/>
          <w:color w:val="000000" w:themeColor="text1"/>
          <w:sz w:val="36"/>
          <w:szCs w:val="36"/>
          <w:lang w:val="en-US" w:eastAsia="zh-CN"/>
          <w14:textFill>
            <w14:solidFill>
              <w14:schemeClr w14:val="tx1"/>
            </w14:solidFill>
          </w14:textFill>
        </w:rPr>
        <w:t>〇二一</w:t>
      </w:r>
      <w:r>
        <w:rPr>
          <w:rFonts w:ascii="Times New Roman" w:hAnsi="Times New Roman" w:eastAsia="华文中宋" w:cs="Times New Roman"/>
          <w:b/>
          <w:bCs/>
          <w:color w:val="000000" w:themeColor="text1"/>
          <w:sz w:val="36"/>
          <w:szCs w:val="36"/>
          <w14:textFill>
            <w14:solidFill>
              <w14:schemeClr w14:val="tx1"/>
            </w14:solidFill>
          </w14:textFill>
        </w:rPr>
        <w:t>年</w:t>
      </w:r>
      <w:r>
        <w:rPr>
          <w:rFonts w:hint="eastAsia" w:ascii="Times New Roman" w:hAnsi="Times New Roman" w:eastAsia="华文中宋" w:cs="Times New Roman"/>
          <w:b/>
          <w:bCs/>
          <w:color w:val="000000" w:themeColor="text1"/>
          <w:sz w:val="36"/>
          <w:szCs w:val="36"/>
          <w:lang w:val="en-US" w:eastAsia="zh-CN"/>
          <w14:textFill>
            <w14:solidFill>
              <w14:schemeClr w14:val="tx1"/>
            </w14:solidFill>
          </w14:textFill>
        </w:rPr>
        <w:t>二</w:t>
      </w:r>
      <w:r>
        <w:rPr>
          <w:rFonts w:ascii="Times New Roman" w:hAnsi="Times New Roman" w:eastAsia="华文中宋" w:cs="Times New Roman"/>
          <w:b/>
          <w:bCs/>
          <w:color w:val="000000" w:themeColor="text1"/>
          <w:sz w:val="36"/>
          <w:szCs w:val="36"/>
          <w14:textFill>
            <w14:solidFill>
              <w14:schemeClr w14:val="tx1"/>
            </w14:solidFill>
          </w14:textFill>
        </w:rPr>
        <w:t>月</w:t>
      </w:r>
    </w:p>
    <w:p w14:paraId="3114EBE5">
      <w:pPr>
        <w:pageBreakBefore w:val="0"/>
        <w:kinsoku/>
        <w:wordWrap/>
        <w:overflowPunct/>
        <w:topLinePunct w:val="0"/>
        <w:autoSpaceDE/>
        <w:autoSpaceDN/>
        <w:bidi w:val="0"/>
        <w:spacing w:line="240" w:lineRule="auto"/>
        <w:ind w:left="0" w:leftChars="0"/>
        <w:jc w:val="center"/>
        <w:textAlignment w:val="auto"/>
        <w:rPr>
          <w:rFonts w:ascii="黑体" w:hAnsi="黑体" w:eastAsia="黑体" w:cs="Times New Roman"/>
          <w:b/>
          <w:bCs/>
          <w:color w:val="000000" w:themeColor="text1"/>
          <w:sz w:val="36"/>
          <w:szCs w:val="36"/>
          <w14:textFill>
            <w14:solidFill>
              <w14:schemeClr w14:val="tx1"/>
            </w14:solidFill>
          </w14:textFill>
        </w:rPr>
        <w:sectPr>
          <w:pgSz w:w="11906" w:h="16838"/>
          <w:pgMar w:top="1440" w:right="1800" w:bottom="1440" w:left="1800" w:header="851" w:footer="992" w:gutter="0"/>
          <w:pgNumType w:fmt="numberInDash" w:start="1"/>
          <w:cols w:space="425" w:num="1"/>
          <w:docGrid w:type="lines" w:linePitch="312" w:charSpace="0"/>
        </w:sectPr>
      </w:pPr>
    </w:p>
    <w:sdt>
      <w:sdtPr>
        <w:rPr>
          <w:rFonts w:ascii="宋体" w:hAnsi="宋体" w:eastAsia="宋体" w:cstheme="minorBidi"/>
          <w:kern w:val="2"/>
          <w:sz w:val="21"/>
          <w:szCs w:val="24"/>
          <w:lang w:val="en-US" w:eastAsia="zh-CN" w:bidi="ar-SA"/>
        </w:rPr>
        <w:id w:val="147472516"/>
        <w15:color w:val="DBDBDB"/>
        <w:docPartObj>
          <w:docPartGallery w:val="Table of Contents"/>
          <w:docPartUnique/>
        </w:docPartObj>
      </w:sdtPr>
      <w:sdtEndPr>
        <w:rPr>
          <w:rFonts w:ascii="宋体" w:hAnsi="宋体" w:eastAsia="宋体" w:cstheme="minorBidi"/>
          <w:b/>
          <w:kern w:val="2"/>
          <w:sz w:val="20"/>
          <w:szCs w:val="22"/>
          <w:lang w:val="en-US" w:eastAsia="zh-CN" w:bidi="ar-SA"/>
        </w:rPr>
      </w:sdtEndPr>
      <w:sdtContent>
        <w:p w14:paraId="589BA6F0">
          <w:pPr>
            <w:spacing w:before="0" w:beforeLines="0" w:after="0" w:afterLines="0" w:line="240" w:lineRule="auto"/>
            <w:ind w:left="0" w:leftChars="0" w:right="0" w:rightChars="0" w:firstLine="0" w:firstLineChars="0"/>
            <w:jc w:val="center"/>
          </w:pPr>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14:paraId="075DBD96">
          <w:pPr>
            <w:pStyle w:val="8"/>
            <w:tabs>
              <w:tab w:val="right" w:leader="middleDot" w:pos="8306"/>
            </w:tabs>
            <w:rPr>
              <w:sz w:val="20"/>
              <w:szCs w:val="22"/>
            </w:rPr>
          </w:pPr>
          <w:r>
            <w:rPr>
              <w:sz w:val="20"/>
              <w:szCs w:val="22"/>
            </w:rPr>
            <w:fldChar w:fldCharType="begin"/>
          </w:r>
          <w:r>
            <w:rPr>
              <w:sz w:val="20"/>
              <w:szCs w:val="22"/>
            </w:rPr>
            <w:instrText xml:space="preserve">TOC \o "1-2" \h \u </w:instrText>
          </w:r>
          <w:r>
            <w:rPr>
              <w:sz w:val="20"/>
              <w:szCs w:val="22"/>
            </w:rPr>
            <w:fldChar w:fldCharType="separate"/>
          </w:r>
        </w:p>
        <w:p w14:paraId="13645A83">
          <w:pPr>
            <w:pStyle w:val="8"/>
            <w:tabs>
              <w:tab w:val="right" w:leader="middleDot" w:pos="8306"/>
            </w:tabs>
            <w:rPr>
              <w:sz w:val="20"/>
              <w:szCs w:val="22"/>
            </w:rPr>
          </w:pPr>
          <w:r>
            <w:rPr>
              <w:sz w:val="20"/>
              <w:szCs w:val="22"/>
            </w:rPr>
            <w:fldChar w:fldCharType="begin"/>
          </w:r>
          <w:r>
            <w:rPr>
              <w:sz w:val="20"/>
              <w:szCs w:val="22"/>
            </w:rPr>
            <w:instrText xml:space="preserve">TOC \o "1-2" \h \u </w:instrText>
          </w:r>
          <w:r>
            <w:rPr>
              <w:sz w:val="20"/>
              <w:szCs w:val="22"/>
            </w:rPr>
            <w:fldChar w:fldCharType="separate"/>
          </w:r>
        </w:p>
        <w:p w14:paraId="5CB011AB">
          <w:pPr>
            <w:pStyle w:val="8"/>
            <w:bidi w:val="0"/>
            <w:jc w:val="distribute"/>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_Toc9267 </w:instrText>
          </w:r>
          <w:r>
            <w:rPr>
              <w:rFonts w:hint="eastAsia" w:ascii="黑体" w:hAnsi="黑体" w:eastAsia="黑体" w:cs="黑体"/>
              <w:sz w:val="28"/>
              <w:szCs w:val="28"/>
            </w:rPr>
            <w:fldChar w:fldCharType="separate"/>
          </w:r>
          <w:r>
            <w:rPr>
              <w:rFonts w:hint="eastAsia" w:ascii="黑体" w:hAnsi="黑体" w:eastAsia="黑体" w:cs="黑体"/>
              <w:sz w:val="28"/>
              <w:szCs w:val="28"/>
            </w:rPr>
            <w:t>第一章　</w:t>
          </w:r>
          <w:r>
            <w:rPr>
              <w:rFonts w:hint="eastAsia" w:ascii="黑体" w:hAnsi="黑体" w:eastAsia="黑体" w:cs="黑体"/>
              <w:sz w:val="28"/>
              <w:szCs w:val="28"/>
              <w:lang w:eastAsia="zh-CN"/>
            </w:rPr>
            <w:t>全面建成小康社会，开启建设现代化爱民新征程</w:t>
          </w:r>
          <w:r>
            <w:rPr>
              <w:rFonts w:hint="eastAsia" w:ascii="楷体" w:hAnsi="楷体" w:eastAsia="楷体" w:cs="楷体"/>
              <w:sz w:val="28"/>
              <w:szCs w:val="28"/>
              <w:lang w:val="en-US" w:eastAsia="zh-CN"/>
            </w:rPr>
            <w:t>……</w:t>
          </w:r>
          <w:r>
            <w:rPr>
              <w:rFonts w:hint="eastAsia" w:ascii="黑体" w:hAnsi="黑体" w:eastAsia="黑体" w:cs="黑体"/>
              <w:sz w:val="28"/>
              <w:szCs w:val="28"/>
            </w:rPr>
            <w:fldChar w:fldCharType="end"/>
          </w:r>
          <w:r>
            <w:rPr>
              <w:rFonts w:hint="eastAsia" w:ascii="楷体" w:hAnsi="楷体" w:eastAsia="楷体" w:cs="楷体"/>
              <w:sz w:val="28"/>
              <w:szCs w:val="28"/>
              <w:lang w:val="en-US" w:eastAsia="zh-CN"/>
            </w:rPr>
            <w:t>……</w:t>
          </w:r>
          <w:r>
            <w:rPr>
              <w:rFonts w:hint="eastAsia" w:ascii="黑体" w:hAnsi="黑体" w:eastAsia="黑体" w:cs="黑体"/>
              <w:sz w:val="28"/>
              <w:szCs w:val="28"/>
              <w:lang w:val="en-US" w:eastAsia="zh-CN"/>
            </w:rPr>
            <w:t>1</w:t>
          </w:r>
        </w:p>
        <w:p w14:paraId="5D426DA5">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第一节　</w:t>
          </w:r>
          <w:r>
            <w:rPr>
              <w:rFonts w:hint="eastAsia" w:ascii="楷体" w:hAnsi="楷体" w:eastAsia="楷体" w:cs="楷体"/>
              <w:sz w:val="28"/>
              <w:szCs w:val="28"/>
              <w:lang w:eastAsia="zh-CN"/>
            </w:rPr>
            <w:t>取得的</w:t>
          </w:r>
          <w:r>
            <w:rPr>
              <w:rFonts w:hint="eastAsia" w:ascii="楷体" w:hAnsi="楷体" w:eastAsia="楷体" w:cs="楷体"/>
              <w:sz w:val="28"/>
              <w:szCs w:val="28"/>
            </w:rPr>
            <w:t>主要成就</w:t>
          </w:r>
          <w:r>
            <w:rPr>
              <w:rFonts w:hint="eastAsia" w:ascii="楷体" w:hAnsi="楷体" w:eastAsia="楷体" w:cs="楷体"/>
              <w:sz w:val="28"/>
              <w:szCs w:val="28"/>
              <w:lang w:val="en-US" w:eastAsia="zh-CN"/>
            </w:rPr>
            <w:t>………………………………………………1</w:t>
          </w:r>
        </w:p>
        <w:p w14:paraId="7DEB1EDB">
          <w:pPr>
            <w:jc w:val="distribute"/>
            <w:rPr>
              <w:rFonts w:hint="default" w:ascii="楷体" w:hAnsi="楷体" w:eastAsia="楷体" w:cs="楷体"/>
              <w:sz w:val="28"/>
              <w:szCs w:val="28"/>
              <w:lang w:val="en-US"/>
            </w:rPr>
          </w:pPr>
          <w:r>
            <w:rPr>
              <w:rFonts w:hint="eastAsia" w:ascii="楷体" w:hAnsi="楷体" w:eastAsia="楷体" w:cs="楷体"/>
              <w:sz w:val="28"/>
              <w:szCs w:val="28"/>
            </w:rPr>
            <w:t>第二节　面临的发展环境</w:t>
          </w:r>
          <w:r>
            <w:rPr>
              <w:rFonts w:hint="eastAsia" w:ascii="楷体" w:hAnsi="楷体" w:eastAsia="楷体" w:cs="楷体"/>
              <w:sz w:val="28"/>
              <w:szCs w:val="28"/>
              <w:lang w:val="en-US" w:eastAsia="zh-CN"/>
            </w:rPr>
            <w:t>………………………………………………8</w:t>
          </w:r>
        </w:p>
        <w:p w14:paraId="0B58544B">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第三节　2035年远景目标</w:t>
          </w:r>
          <w:r>
            <w:rPr>
              <w:rFonts w:hint="eastAsia" w:ascii="楷体" w:hAnsi="楷体" w:eastAsia="楷体" w:cs="楷体"/>
              <w:sz w:val="28"/>
              <w:szCs w:val="28"/>
              <w:lang w:val="en-US" w:eastAsia="zh-CN"/>
            </w:rPr>
            <w:t>……………………………………………11</w:t>
          </w:r>
        </w:p>
        <w:p w14:paraId="5FAC1836">
          <w:pPr>
            <w:jc w:val="distribute"/>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第四节  “十四五”时期发展总方针…………………………………11</w:t>
          </w:r>
        </w:p>
        <w:p w14:paraId="4A063160">
          <w:pPr>
            <w:pStyle w:val="8"/>
            <w:tabs>
              <w:tab w:val="right" w:leader="middleDot" w:pos="8306"/>
            </w:tabs>
            <w:jc w:val="distribute"/>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_Toc20242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二</w:t>
          </w:r>
          <w:r>
            <w:rPr>
              <w:rFonts w:hint="eastAsia" w:ascii="黑体" w:hAnsi="黑体" w:eastAsia="黑体" w:cs="黑体"/>
              <w:sz w:val="28"/>
              <w:szCs w:val="28"/>
            </w:rPr>
            <w:t>章　</w:t>
          </w:r>
          <w:r>
            <w:rPr>
              <w:rFonts w:hint="eastAsia" w:ascii="黑体" w:hAnsi="黑体" w:eastAsia="黑体" w:cs="黑体"/>
              <w:sz w:val="28"/>
              <w:szCs w:val="28"/>
              <w:lang w:eastAsia="zh-CN"/>
            </w:rPr>
            <w:t>推动经济高质量发展，</w:t>
          </w:r>
          <w:r>
            <w:rPr>
              <w:rFonts w:hint="eastAsia" w:ascii="黑体" w:hAnsi="黑体" w:eastAsia="黑体" w:cs="黑体"/>
              <w:sz w:val="28"/>
              <w:szCs w:val="28"/>
            </w:rPr>
            <w:t>建</w:t>
          </w:r>
          <w:r>
            <w:rPr>
              <w:rFonts w:hint="eastAsia" w:ascii="黑体" w:hAnsi="黑体" w:eastAsia="黑体" w:cs="黑体"/>
              <w:sz w:val="28"/>
              <w:szCs w:val="28"/>
              <w:lang w:val="en-US" w:eastAsia="zh-CN"/>
            </w:rPr>
            <w:t>设</w:t>
          </w:r>
          <w:r>
            <w:rPr>
              <w:rFonts w:hint="eastAsia" w:ascii="黑体" w:hAnsi="黑体" w:eastAsia="黑体" w:cs="黑体"/>
              <w:sz w:val="28"/>
              <w:szCs w:val="28"/>
            </w:rPr>
            <w:t>现代产业新</w:t>
          </w:r>
          <w:r>
            <w:rPr>
              <w:rFonts w:hint="eastAsia" w:ascii="黑体" w:hAnsi="黑体" w:eastAsia="黑体" w:cs="黑体"/>
              <w:sz w:val="28"/>
              <w:szCs w:val="28"/>
              <w:lang w:eastAsia="zh-CN"/>
            </w:rPr>
            <w:t>格</w:t>
          </w:r>
          <w:r>
            <w:rPr>
              <w:rFonts w:hint="eastAsia" w:ascii="黑体" w:hAnsi="黑体" w:eastAsia="黑体" w:cs="黑体"/>
              <w:sz w:val="28"/>
              <w:szCs w:val="28"/>
            </w:rPr>
            <w:fldChar w:fldCharType="end"/>
          </w:r>
          <w:r>
            <w:rPr>
              <w:rFonts w:hint="eastAsia" w:ascii="黑体" w:hAnsi="黑体" w:eastAsia="黑体" w:cs="黑体"/>
              <w:sz w:val="28"/>
              <w:szCs w:val="28"/>
              <w:lang w:eastAsia="zh-CN"/>
            </w:rPr>
            <w:t>局</w:t>
          </w:r>
          <w:r>
            <w:rPr>
              <w:rFonts w:hint="eastAsia" w:ascii="楷体" w:hAnsi="楷体" w:eastAsia="楷体" w:cs="楷体"/>
              <w:sz w:val="28"/>
              <w:szCs w:val="28"/>
              <w:lang w:val="en-US" w:eastAsia="zh-CN"/>
            </w:rPr>
            <w:t>………………15</w:t>
          </w:r>
        </w:p>
        <w:p w14:paraId="32BEE65C">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一</w:t>
          </w:r>
          <w:r>
            <w:rPr>
              <w:rFonts w:hint="eastAsia" w:ascii="楷体" w:hAnsi="楷体" w:eastAsia="楷体" w:cs="楷体"/>
              <w:sz w:val="28"/>
              <w:szCs w:val="28"/>
            </w:rPr>
            <w:t>节　大力发展现代新</w:t>
          </w:r>
          <w:r>
            <w:rPr>
              <w:rFonts w:hint="eastAsia" w:ascii="楷体" w:hAnsi="楷体" w:eastAsia="楷体" w:cs="楷体"/>
              <w:sz w:val="28"/>
              <w:szCs w:val="28"/>
              <w:lang w:val="en-US" w:eastAsia="zh-CN"/>
            </w:rPr>
            <w:t>型</w:t>
          </w:r>
          <w:r>
            <w:rPr>
              <w:rFonts w:hint="eastAsia" w:ascii="楷体" w:hAnsi="楷体" w:eastAsia="楷体" w:cs="楷体"/>
              <w:sz w:val="28"/>
              <w:szCs w:val="28"/>
            </w:rPr>
            <w:t>工业</w:t>
          </w:r>
          <w:r>
            <w:rPr>
              <w:rFonts w:hint="eastAsia" w:ascii="楷体" w:hAnsi="楷体" w:eastAsia="楷体" w:cs="楷体"/>
              <w:sz w:val="28"/>
              <w:szCs w:val="28"/>
              <w:lang w:val="en-US" w:eastAsia="zh-CN"/>
            </w:rPr>
            <w:t>……………………………………15</w:t>
          </w:r>
        </w:p>
        <w:p w14:paraId="6A4A9A32">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二</w:t>
          </w:r>
          <w:r>
            <w:rPr>
              <w:rFonts w:hint="eastAsia" w:ascii="楷体" w:hAnsi="楷体" w:eastAsia="楷体" w:cs="楷体"/>
              <w:sz w:val="28"/>
              <w:szCs w:val="28"/>
            </w:rPr>
            <w:t>节　</w:t>
          </w:r>
          <w:r>
            <w:rPr>
              <w:rFonts w:hint="eastAsia" w:ascii="楷体" w:hAnsi="楷体" w:eastAsia="楷体" w:cs="楷体"/>
              <w:sz w:val="28"/>
              <w:szCs w:val="28"/>
              <w:lang w:val="en-US" w:eastAsia="zh-CN"/>
            </w:rPr>
            <w:t>着力发展现代服务业………………………………………19</w:t>
          </w:r>
        </w:p>
        <w:p w14:paraId="22658F7D">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三</w:t>
          </w:r>
          <w:r>
            <w:rPr>
              <w:rFonts w:hint="eastAsia" w:ascii="楷体" w:hAnsi="楷体" w:eastAsia="楷体" w:cs="楷体"/>
              <w:sz w:val="28"/>
              <w:szCs w:val="28"/>
            </w:rPr>
            <w:t>节　</w:t>
          </w:r>
          <w:r>
            <w:rPr>
              <w:rFonts w:hint="eastAsia" w:ascii="楷体" w:hAnsi="楷体" w:eastAsia="楷体" w:cs="楷体"/>
              <w:sz w:val="28"/>
              <w:szCs w:val="28"/>
              <w:lang w:eastAsia="zh-CN"/>
            </w:rPr>
            <w:t>强力</w:t>
          </w:r>
          <w:r>
            <w:rPr>
              <w:rFonts w:hint="eastAsia" w:ascii="楷体" w:hAnsi="楷体" w:eastAsia="楷体" w:cs="楷体"/>
              <w:sz w:val="28"/>
              <w:szCs w:val="28"/>
              <w:lang w:val="en-US" w:eastAsia="zh-CN"/>
            </w:rPr>
            <w:t>提升房地产业…………………………………………24</w:t>
          </w:r>
        </w:p>
        <w:p w14:paraId="745DFC3F">
          <w:pPr>
            <w:jc w:val="distribute"/>
            <w:rPr>
              <w:rFonts w:hint="default" w:ascii="楷体" w:hAnsi="楷体" w:eastAsia="楷体" w:cs="楷体"/>
              <w:sz w:val="28"/>
              <w:szCs w:val="28"/>
              <w:lang w:val="en-US"/>
            </w:rPr>
          </w:pPr>
          <w:r>
            <w:rPr>
              <w:rFonts w:hint="eastAsia" w:ascii="楷体" w:hAnsi="楷体" w:eastAsia="楷体" w:cs="楷体"/>
              <w:sz w:val="28"/>
              <w:szCs w:val="28"/>
            </w:rPr>
            <w:t>第</w:t>
          </w:r>
          <w:r>
            <w:rPr>
              <w:rFonts w:hint="eastAsia" w:ascii="楷体" w:hAnsi="楷体" w:eastAsia="楷体" w:cs="楷体"/>
              <w:sz w:val="28"/>
              <w:szCs w:val="28"/>
              <w:lang w:eastAsia="zh-CN"/>
            </w:rPr>
            <w:t>四</w:t>
          </w:r>
          <w:r>
            <w:rPr>
              <w:rFonts w:hint="eastAsia" w:ascii="楷体" w:hAnsi="楷体" w:eastAsia="楷体" w:cs="楷体"/>
              <w:sz w:val="28"/>
              <w:szCs w:val="28"/>
            </w:rPr>
            <w:t>节</w:t>
          </w:r>
          <w:r>
            <w:rPr>
              <w:rFonts w:hint="eastAsia" w:ascii="楷体" w:hAnsi="楷体" w:eastAsia="楷体" w:cs="楷体"/>
              <w:sz w:val="28"/>
              <w:szCs w:val="28"/>
              <w:lang w:val="en-US" w:eastAsia="zh-CN"/>
            </w:rPr>
            <w:t xml:space="preserve">  加快</w:t>
          </w:r>
          <w:r>
            <w:rPr>
              <w:rFonts w:hint="eastAsia" w:ascii="楷体" w:hAnsi="楷体" w:eastAsia="楷体" w:cs="楷体"/>
              <w:sz w:val="28"/>
              <w:szCs w:val="28"/>
            </w:rPr>
            <w:t>发展</w:t>
          </w:r>
          <w:r>
            <w:rPr>
              <w:rFonts w:hint="eastAsia" w:ascii="楷体" w:hAnsi="楷体" w:eastAsia="楷体" w:cs="楷体"/>
              <w:sz w:val="28"/>
              <w:szCs w:val="28"/>
              <w:lang w:val="en-US" w:eastAsia="zh-CN"/>
            </w:rPr>
            <w:t>现代</w:t>
          </w:r>
          <w:r>
            <w:rPr>
              <w:rFonts w:hint="eastAsia" w:ascii="楷体" w:hAnsi="楷体" w:eastAsia="楷体" w:cs="楷体"/>
              <w:sz w:val="28"/>
              <w:szCs w:val="28"/>
            </w:rPr>
            <w:t>特色农业</w:t>
          </w:r>
          <w:r>
            <w:rPr>
              <w:rFonts w:hint="eastAsia" w:ascii="楷体" w:hAnsi="楷体" w:eastAsia="楷体" w:cs="楷体"/>
              <w:sz w:val="28"/>
              <w:szCs w:val="28"/>
              <w:lang w:val="en-US" w:eastAsia="zh-CN"/>
            </w:rPr>
            <w:t>……………………………………25</w:t>
          </w:r>
        </w:p>
        <w:p w14:paraId="2FEDFD26">
          <w:pPr>
            <w:jc w:val="distribute"/>
            <w:rPr>
              <w:rFonts w:hint="default" w:ascii="楷体" w:hAnsi="楷体" w:eastAsia="楷体" w:cs="楷体"/>
              <w:sz w:val="28"/>
              <w:szCs w:val="28"/>
              <w:lang w:val="en-US"/>
            </w:rPr>
          </w:pPr>
          <w:r>
            <w:rPr>
              <w:rFonts w:hint="eastAsia" w:ascii="楷体" w:hAnsi="楷体" w:eastAsia="楷体" w:cs="楷体"/>
              <w:sz w:val="28"/>
              <w:szCs w:val="28"/>
              <w:lang w:val="en-US" w:eastAsia="zh-CN"/>
            </w:rPr>
            <w:t>第五节  强化园区和项目库建设……………………………………27</w:t>
          </w:r>
        </w:p>
        <w:p w14:paraId="53C4F616">
          <w:pPr>
            <w:jc w:val="distribute"/>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第六节　深入推进对外开放和扩大内需………………………29</w:t>
          </w:r>
        </w:p>
        <w:p w14:paraId="6A7D6475">
          <w:pPr>
            <w:pStyle w:val="8"/>
            <w:tabs>
              <w:tab w:val="right" w:leader="middleDot" w:pos="8306"/>
            </w:tabs>
            <w:jc w:val="distribute"/>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_Toc2527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三</w:t>
          </w:r>
          <w:r>
            <w:rPr>
              <w:rFonts w:hint="eastAsia" w:ascii="黑体" w:hAnsi="黑体" w:eastAsia="黑体" w:cs="黑体"/>
              <w:sz w:val="28"/>
              <w:szCs w:val="28"/>
            </w:rPr>
            <w:t>章　</w:t>
          </w:r>
          <w:r>
            <w:rPr>
              <w:rFonts w:hint="eastAsia" w:ascii="黑体" w:hAnsi="黑体" w:eastAsia="黑体" w:cs="黑体"/>
              <w:sz w:val="28"/>
              <w:szCs w:val="28"/>
            </w:rPr>
            <w:fldChar w:fldCharType="end"/>
          </w:r>
          <w:r>
            <w:rPr>
              <w:rFonts w:hint="eastAsia" w:ascii="黑体" w:hAnsi="黑体" w:eastAsia="黑体" w:cs="黑体"/>
              <w:sz w:val="28"/>
              <w:szCs w:val="28"/>
              <w:lang w:eastAsia="zh-CN"/>
            </w:rPr>
            <w:t>全面深化改革创新，培育发展新动能</w:t>
          </w:r>
          <w:r>
            <w:rPr>
              <w:rFonts w:hint="eastAsia" w:ascii="楷体" w:hAnsi="楷体" w:eastAsia="楷体" w:cs="楷体"/>
              <w:sz w:val="28"/>
              <w:szCs w:val="28"/>
              <w:lang w:val="en-US" w:eastAsia="zh-CN"/>
            </w:rPr>
            <w:t>………………………30</w:t>
          </w:r>
        </w:p>
        <w:p w14:paraId="5DE1F772">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第一节　深化体制</w:t>
          </w:r>
          <w:r>
            <w:rPr>
              <w:rFonts w:hint="eastAsia" w:ascii="楷体" w:hAnsi="楷体" w:eastAsia="楷体" w:cs="楷体"/>
              <w:sz w:val="28"/>
              <w:szCs w:val="28"/>
              <w:lang w:eastAsia="zh-CN"/>
            </w:rPr>
            <w:t>机制</w:t>
          </w:r>
          <w:r>
            <w:rPr>
              <w:rFonts w:hint="eastAsia" w:ascii="楷体" w:hAnsi="楷体" w:eastAsia="楷体" w:cs="楷体"/>
              <w:sz w:val="28"/>
              <w:szCs w:val="28"/>
            </w:rPr>
            <w:t>改革</w:t>
          </w:r>
          <w:r>
            <w:rPr>
              <w:rFonts w:hint="eastAsia" w:ascii="楷体" w:hAnsi="楷体" w:eastAsia="楷体" w:cs="楷体"/>
              <w:sz w:val="28"/>
              <w:szCs w:val="28"/>
              <w:lang w:val="en-US" w:eastAsia="zh-CN"/>
            </w:rPr>
            <w:t>……………………………………30</w:t>
          </w:r>
        </w:p>
        <w:p w14:paraId="4FF4F100">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二</w:t>
          </w:r>
          <w:r>
            <w:rPr>
              <w:rFonts w:hint="eastAsia" w:ascii="楷体" w:hAnsi="楷体" w:eastAsia="楷体" w:cs="楷体"/>
              <w:sz w:val="28"/>
              <w:szCs w:val="28"/>
            </w:rPr>
            <w:t>节　持续优化营商环境</w:t>
          </w:r>
          <w:r>
            <w:rPr>
              <w:rFonts w:hint="eastAsia" w:ascii="楷体" w:hAnsi="楷体" w:eastAsia="楷体" w:cs="楷体"/>
              <w:sz w:val="28"/>
              <w:szCs w:val="28"/>
              <w:lang w:val="en-US" w:eastAsia="zh-CN"/>
            </w:rPr>
            <w:t>…………………………………………30</w:t>
          </w:r>
        </w:p>
        <w:p w14:paraId="5850A7F8">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三</w:t>
          </w:r>
          <w:r>
            <w:rPr>
              <w:rFonts w:hint="eastAsia" w:ascii="楷体" w:hAnsi="楷体" w:eastAsia="楷体" w:cs="楷体"/>
              <w:sz w:val="28"/>
              <w:szCs w:val="28"/>
            </w:rPr>
            <w:t>节　</w:t>
          </w:r>
          <w:r>
            <w:rPr>
              <w:rFonts w:hint="eastAsia" w:ascii="楷体" w:hAnsi="楷体" w:eastAsia="楷体" w:cs="楷体"/>
              <w:sz w:val="28"/>
              <w:szCs w:val="28"/>
              <w:lang w:eastAsia="zh-CN"/>
            </w:rPr>
            <w:t>创建产教融合示范区</w:t>
          </w:r>
          <w:r>
            <w:rPr>
              <w:rFonts w:hint="eastAsia" w:ascii="楷体" w:hAnsi="楷体" w:eastAsia="楷体" w:cs="楷体"/>
              <w:sz w:val="28"/>
              <w:szCs w:val="28"/>
              <w:lang w:val="en-US" w:eastAsia="zh-CN"/>
            </w:rPr>
            <w:t>………………………………………32</w:t>
          </w:r>
        </w:p>
        <w:p w14:paraId="6093A936">
          <w:pPr>
            <w:jc w:val="distribute"/>
            <w:rPr>
              <w:rFonts w:hint="default" w:ascii="黑体" w:hAnsi="黑体" w:eastAsia="黑体" w:cs="黑体"/>
              <w:sz w:val="28"/>
              <w:szCs w:val="28"/>
              <w:lang w:val="en-US"/>
            </w:rPr>
          </w:pPr>
          <w:r>
            <w:rPr>
              <w:rFonts w:hint="eastAsia" w:ascii="楷体" w:hAnsi="楷体" w:eastAsia="楷体" w:cs="楷体"/>
              <w:sz w:val="28"/>
              <w:szCs w:val="28"/>
            </w:rPr>
            <w:t>第</w:t>
          </w:r>
          <w:r>
            <w:rPr>
              <w:rFonts w:hint="eastAsia" w:ascii="楷体" w:hAnsi="楷体" w:eastAsia="楷体" w:cs="楷体"/>
              <w:sz w:val="28"/>
              <w:szCs w:val="28"/>
              <w:lang w:eastAsia="zh-CN"/>
            </w:rPr>
            <w:t>四</w:t>
          </w:r>
          <w:r>
            <w:rPr>
              <w:rFonts w:hint="eastAsia" w:ascii="楷体" w:hAnsi="楷体" w:eastAsia="楷体" w:cs="楷体"/>
              <w:sz w:val="28"/>
              <w:szCs w:val="28"/>
            </w:rPr>
            <w:t>节　</w:t>
          </w:r>
          <w:r>
            <w:rPr>
              <w:rFonts w:hint="eastAsia" w:ascii="楷体" w:hAnsi="楷体" w:eastAsia="楷体" w:cs="楷体"/>
              <w:sz w:val="28"/>
              <w:szCs w:val="28"/>
              <w:lang w:eastAsia="zh-CN"/>
            </w:rPr>
            <w:t>强化</w:t>
          </w:r>
          <w:r>
            <w:rPr>
              <w:rFonts w:hint="eastAsia" w:ascii="楷体" w:hAnsi="楷体" w:eastAsia="楷体" w:cs="楷体"/>
              <w:sz w:val="28"/>
              <w:szCs w:val="28"/>
            </w:rPr>
            <w:t>人才发展</w:t>
          </w:r>
          <w:r>
            <w:rPr>
              <w:rFonts w:hint="eastAsia" w:ascii="楷体" w:hAnsi="楷体" w:eastAsia="楷体" w:cs="楷体"/>
              <w:sz w:val="28"/>
              <w:szCs w:val="28"/>
              <w:lang w:val="en-US" w:eastAsia="zh-CN"/>
            </w:rPr>
            <w:t>………………………………………………34</w:t>
          </w:r>
        </w:p>
        <w:p w14:paraId="66C5B510">
          <w:pPr>
            <w:pStyle w:val="8"/>
            <w:tabs>
              <w:tab w:val="right" w:leader="middleDot" w:pos="8306"/>
            </w:tabs>
            <w:jc w:val="distribute"/>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_Toc2527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四</w:t>
          </w:r>
          <w:r>
            <w:rPr>
              <w:rFonts w:hint="eastAsia" w:ascii="黑体" w:hAnsi="黑体" w:eastAsia="黑体" w:cs="黑体"/>
              <w:sz w:val="28"/>
              <w:szCs w:val="28"/>
            </w:rPr>
            <w:t>章　</w:t>
          </w:r>
          <w:r>
            <w:rPr>
              <w:rFonts w:hint="eastAsia" w:ascii="黑体" w:hAnsi="黑体" w:eastAsia="黑体" w:cs="黑体"/>
              <w:sz w:val="28"/>
              <w:szCs w:val="28"/>
              <w:lang w:val="en-US" w:eastAsia="zh-CN"/>
            </w:rPr>
            <w:t>加</w:t>
          </w:r>
          <w:r>
            <w:rPr>
              <w:rFonts w:hint="eastAsia" w:ascii="黑体" w:hAnsi="黑体" w:eastAsia="黑体" w:cs="黑体"/>
              <w:sz w:val="28"/>
              <w:szCs w:val="28"/>
            </w:rPr>
            <w:fldChar w:fldCharType="end"/>
          </w:r>
          <w:r>
            <w:rPr>
              <w:rFonts w:hint="eastAsia" w:ascii="黑体" w:hAnsi="黑体" w:eastAsia="黑体" w:cs="黑体"/>
              <w:sz w:val="28"/>
              <w:szCs w:val="28"/>
              <w:lang w:eastAsia="zh-CN"/>
            </w:rPr>
            <w:t>快区域协调发展，塑造城乡新面貌</w:t>
          </w:r>
          <w:r>
            <w:rPr>
              <w:rFonts w:hint="eastAsia" w:ascii="楷体" w:hAnsi="楷体" w:eastAsia="楷体" w:cs="楷体"/>
              <w:sz w:val="28"/>
              <w:szCs w:val="28"/>
              <w:lang w:val="en-US" w:eastAsia="zh-CN"/>
            </w:rPr>
            <w:t>………………………35</w:t>
          </w:r>
        </w:p>
        <w:p w14:paraId="3065EB80">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第一节　</w:t>
          </w:r>
          <w:r>
            <w:rPr>
              <w:rFonts w:hint="eastAsia" w:ascii="楷体" w:hAnsi="楷体" w:eastAsia="楷体" w:cs="楷体"/>
              <w:sz w:val="28"/>
              <w:szCs w:val="28"/>
              <w:lang w:eastAsia="zh-CN"/>
            </w:rPr>
            <w:t>优化</w:t>
          </w:r>
          <w:r>
            <w:rPr>
              <w:rFonts w:hint="eastAsia" w:ascii="楷体" w:hAnsi="楷体" w:eastAsia="楷体" w:cs="楷体"/>
              <w:sz w:val="28"/>
              <w:szCs w:val="28"/>
              <w:lang w:val="en-US" w:eastAsia="zh-CN"/>
            </w:rPr>
            <w:t>国土空间布局……………………………………35</w:t>
          </w:r>
        </w:p>
        <w:p w14:paraId="35E12F15">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二</w:t>
          </w:r>
          <w:r>
            <w:rPr>
              <w:rFonts w:hint="eastAsia" w:ascii="楷体" w:hAnsi="楷体" w:eastAsia="楷体" w:cs="楷体"/>
              <w:sz w:val="28"/>
              <w:szCs w:val="28"/>
            </w:rPr>
            <w:t>节　</w:t>
          </w:r>
          <w:r>
            <w:rPr>
              <w:rFonts w:hint="eastAsia" w:ascii="楷体" w:hAnsi="楷体" w:eastAsia="楷体" w:cs="楷体"/>
              <w:sz w:val="28"/>
              <w:szCs w:val="28"/>
              <w:lang w:val="en-US" w:eastAsia="zh-CN"/>
            </w:rPr>
            <w:t>打造美丽宜居城区……………………………………36</w:t>
          </w:r>
        </w:p>
        <w:p w14:paraId="6CFD99D7">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三</w:t>
          </w:r>
          <w:r>
            <w:rPr>
              <w:rFonts w:hint="eastAsia" w:ascii="楷体" w:hAnsi="楷体" w:eastAsia="楷体" w:cs="楷体"/>
              <w:sz w:val="28"/>
              <w:szCs w:val="28"/>
            </w:rPr>
            <w:t>节　</w:t>
          </w:r>
          <w:r>
            <w:rPr>
              <w:rFonts w:hint="eastAsia" w:ascii="楷体" w:hAnsi="楷体" w:eastAsia="楷体" w:cs="楷体"/>
              <w:sz w:val="28"/>
              <w:szCs w:val="28"/>
              <w:lang w:val="en-US" w:eastAsia="zh-CN"/>
            </w:rPr>
            <w:t>深入推进乡村振兴……………………………………38</w:t>
          </w:r>
        </w:p>
        <w:p w14:paraId="32D0E4CB">
          <w:pPr>
            <w:jc w:val="distribute"/>
            <w:rPr>
              <w:rFonts w:hint="default" w:ascii="楷体" w:hAnsi="楷体" w:eastAsia="楷体" w:cs="楷体"/>
              <w:sz w:val="28"/>
              <w:szCs w:val="28"/>
              <w:lang w:val="en-US"/>
            </w:rPr>
          </w:pPr>
          <w:r>
            <w:rPr>
              <w:rFonts w:hint="eastAsia" w:ascii="楷体" w:hAnsi="楷体" w:eastAsia="楷体" w:cs="楷体"/>
              <w:sz w:val="28"/>
              <w:szCs w:val="28"/>
            </w:rPr>
            <w:t>第</w:t>
          </w:r>
          <w:r>
            <w:rPr>
              <w:rFonts w:hint="eastAsia" w:ascii="楷体" w:hAnsi="楷体" w:eastAsia="楷体" w:cs="楷体"/>
              <w:sz w:val="28"/>
              <w:szCs w:val="28"/>
              <w:lang w:eastAsia="zh-CN"/>
            </w:rPr>
            <w:t>四</w:t>
          </w:r>
          <w:r>
            <w:rPr>
              <w:rFonts w:hint="eastAsia" w:ascii="楷体" w:hAnsi="楷体" w:eastAsia="楷体" w:cs="楷体"/>
              <w:sz w:val="28"/>
              <w:szCs w:val="28"/>
            </w:rPr>
            <w:t>节　持续改善环境质量</w:t>
          </w:r>
          <w:r>
            <w:rPr>
              <w:rFonts w:hint="eastAsia" w:ascii="楷体" w:hAnsi="楷体" w:eastAsia="楷体" w:cs="楷体"/>
              <w:sz w:val="28"/>
              <w:szCs w:val="28"/>
              <w:lang w:val="en-US" w:eastAsia="zh-CN"/>
            </w:rPr>
            <w:t>……………………………………41</w:t>
          </w:r>
        </w:p>
        <w:p w14:paraId="610D2645">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五</w:t>
          </w:r>
          <w:r>
            <w:rPr>
              <w:rFonts w:hint="eastAsia" w:ascii="楷体" w:hAnsi="楷体" w:eastAsia="楷体" w:cs="楷体"/>
              <w:sz w:val="28"/>
              <w:szCs w:val="28"/>
            </w:rPr>
            <w:t>节　</w:t>
          </w:r>
          <w:r>
            <w:rPr>
              <w:rFonts w:hint="eastAsia" w:ascii="楷体" w:hAnsi="楷体" w:eastAsia="楷体" w:cs="楷体"/>
              <w:sz w:val="28"/>
              <w:szCs w:val="28"/>
              <w:lang w:val="en-US" w:eastAsia="zh-CN"/>
            </w:rPr>
            <w:t>提高社会文明程度……………………………………43</w:t>
          </w:r>
        </w:p>
        <w:p w14:paraId="6C9DA969">
          <w:pPr>
            <w:jc w:val="distribute"/>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_Toc5746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val="en-US" w:eastAsia="zh-CN"/>
            </w:rPr>
            <w:t>五</w:t>
          </w:r>
          <w:r>
            <w:rPr>
              <w:rFonts w:hint="eastAsia" w:ascii="黑体" w:hAnsi="黑体" w:eastAsia="黑体" w:cs="黑体"/>
              <w:sz w:val="28"/>
              <w:szCs w:val="28"/>
            </w:rPr>
            <w:t>章　</w:t>
          </w:r>
          <w:r>
            <w:rPr>
              <w:rFonts w:hint="eastAsia" w:ascii="黑体" w:hAnsi="黑体" w:eastAsia="黑体" w:cs="黑体"/>
              <w:sz w:val="28"/>
              <w:szCs w:val="28"/>
              <w:lang w:eastAsia="zh-CN"/>
            </w:rPr>
            <w:t>推动共建共治共享，提高社会建设新水平</w:t>
          </w:r>
          <w:r>
            <w:rPr>
              <w:rFonts w:hint="eastAsia" w:ascii="黑体" w:hAnsi="黑体" w:eastAsia="黑体" w:cs="黑体"/>
              <w:sz w:val="28"/>
              <w:szCs w:val="28"/>
            </w:rPr>
            <w:fldChar w:fldCharType="end"/>
          </w:r>
          <w:r>
            <w:rPr>
              <w:rFonts w:hint="eastAsia" w:ascii="楷体" w:hAnsi="楷体" w:eastAsia="楷体" w:cs="楷体"/>
              <w:sz w:val="28"/>
              <w:szCs w:val="28"/>
              <w:lang w:val="en-US" w:eastAsia="zh-CN"/>
            </w:rPr>
            <w:t>…………………44</w:t>
          </w:r>
        </w:p>
        <w:p w14:paraId="7A9423C2">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一</w:t>
          </w:r>
          <w:r>
            <w:rPr>
              <w:rFonts w:hint="eastAsia" w:ascii="楷体" w:hAnsi="楷体" w:eastAsia="楷体" w:cs="楷体"/>
              <w:sz w:val="28"/>
              <w:szCs w:val="28"/>
            </w:rPr>
            <w:t>节　</w:t>
          </w:r>
          <w:r>
            <w:rPr>
              <w:rFonts w:hint="eastAsia" w:ascii="楷体" w:hAnsi="楷体" w:eastAsia="楷体" w:cs="楷体"/>
              <w:sz w:val="28"/>
              <w:szCs w:val="28"/>
              <w:lang w:eastAsia="zh-CN"/>
            </w:rPr>
            <w:t>加强劳动</w:t>
          </w:r>
          <w:r>
            <w:rPr>
              <w:rFonts w:hint="eastAsia" w:ascii="楷体" w:hAnsi="楷体" w:eastAsia="楷体" w:cs="楷体"/>
              <w:sz w:val="28"/>
              <w:szCs w:val="28"/>
            </w:rPr>
            <w:t>就业</w:t>
          </w:r>
          <w:r>
            <w:rPr>
              <w:rFonts w:hint="eastAsia" w:ascii="楷体" w:hAnsi="楷体" w:eastAsia="楷体" w:cs="楷体"/>
              <w:sz w:val="28"/>
              <w:szCs w:val="28"/>
              <w:lang w:val="en-US" w:eastAsia="zh-CN"/>
            </w:rPr>
            <w:t>…………………………………………44</w:t>
          </w:r>
        </w:p>
        <w:p w14:paraId="58004069">
          <w:pPr>
            <w:jc w:val="distribute"/>
            <w:rPr>
              <w:rFonts w:hint="default" w:ascii="楷体" w:hAnsi="楷体" w:eastAsia="楷体" w:cs="楷体"/>
              <w:spacing w:val="-23"/>
              <w:sz w:val="28"/>
              <w:szCs w:val="28"/>
              <w:lang w:val="en-US"/>
            </w:rPr>
          </w:pPr>
          <w:r>
            <w:rPr>
              <w:rFonts w:hint="eastAsia" w:ascii="楷体" w:hAnsi="楷体" w:eastAsia="楷体" w:cs="楷体"/>
              <w:spacing w:val="-23"/>
              <w:sz w:val="28"/>
              <w:szCs w:val="28"/>
            </w:rPr>
            <w:t>第</w:t>
          </w:r>
          <w:r>
            <w:rPr>
              <w:rFonts w:hint="eastAsia" w:ascii="楷体" w:hAnsi="楷体" w:eastAsia="楷体" w:cs="楷体"/>
              <w:spacing w:val="-23"/>
              <w:sz w:val="28"/>
              <w:szCs w:val="28"/>
              <w:lang w:eastAsia="zh-CN"/>
            </w:rPr>
            <w:t>二节</w:t>
          </w:r>
          <w:r>
            <w:rPr>
              <w:rFonts w:hint="eastAsia" w:ascii="楷体" w:hAnsi="楷体" w:eastAsia="楷体" w:cs="楷体"/>
              <w:spacing w:val="-23"/>
              <w:sz w:val="28"/>
              <w:szCs w:val="28"/>
              <w:lang w:val="en-US" w:eastAsia="zh-CN"/>
            </w:rPr>
            <w:t xml:space="preserve">    </w:t>
          </w:r>
          <w:r>
            <w:rPr>
              <w:rFonts w:hint="eastAsia" w:ascii="楷体" w:hAnsi="楷体" w:eastAsia="楷体" w:cs="楷体"/>
              <w:spacing w:val="-23"/>
              <w:sz w:val="28"/>
              <w:szCs w:val="28"/>
            </w:rPr>
            <w:t>高质量发展</w:t>
          </w:r>
          <w:r>
            <w:rPr>
              <w:rFonts w:hint="eastAsia" w:ascii="楷体" w:hAnsi="楷体" w:eastAsia="楷体" w:cs="楷体"/>
              <w:spacing w:val="-23"/>
              <w:sz w:val="28"/>
              <w:szCs w:val="28"/>
              <w:lang w:val="en-US" w:eastAsia="zh-CN"/>
            </w:rPr>
            <w:t>文化体育</w:t>
          </w:r>
          <w:r>
            <w:rPr>
              <w:rFonts w:hint="eastAsia" w:ascii="楷体" w:hAnsi="楷体" w:eastAsia="楷体" w:cs="楷体"/>
              <w:spacing w:val="-23"/>
              <w:sz w:val="28"/>
              <w:szCs w:val="28"/>
            </w:rPr>
            <w:t>教育事业</w:t>
          </w:r>
          <w:r>
            <w:rPr>
              <w:rFonts w:hint="eastAsia" w:ascii="楷体" w:hAnsi="楷体" w:eastAsia="楷体" w:cs="楷体"/>
              <w:sz w:val="28"/>
              <w:szCs w:val="28"/>
              <w:lang w:val="en-US" w:eastAsia="zh-CN"/>
            </w:rPr>
            <w:t>……………………………45</w:t>
          </w:r>
        </w:p>
        <w:p w14:paraId="724477C9">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三</w:t>
          </w:r>
          <w:r>
            <w:rPr>
              <w:rFonts w:hint="eastAsia" w:ascii="楷体" w:hAnsi="楷体" w:eastAsia="楷体" w:cs="楷体"/>
              <w:sz w:val="28"/>
              <w:szCs w:val="28"/>
            </w:rPr>
            <w:t>节　健全多层次社会保障体系</w:t>
          </w:r>
          <w:r>
            <w:rPr>
              <w:rFonts w:hint="eastAsia" w:ascii="楷体" w:hAnsi="楷体" w:eastAsia="楷体" w:cs="楷体"/>
              <w:sz w:val="28"/>
              <w:szCs w:val="28"/>
              <w:lang w:val="en-US" w:eastAsia="zh-CN"/>
            </w:rPr>
            <w:t>……………………………47</w:t>
          </w:r>
        </w:p>
        <w:p w14:paraId="3A1AEAB8">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四</w:t>
          </w:r>
          <w:r>
            <w:rPr>
              <w:rFonts w:hint="eastAsia" w:ascii="楷体" w:hAnsi="楷体" w:eastAsia="楷体" w:cs="楷体"/>
              <w:sz w:val="28"/>
              <w:szCs w:val="28"/>
            </w:rPr>
            <w:t>节　推进健康和人口均衡发展</w:t>
          </w:r>
          <w:r>
            <w:rPr>
              <w:rFonts w:hint="eastAsia" w:ascii="楷体" w:hAnsi="楷体" w:eastAsia="楷体" w:cs="楷体"/>
              <w:sz w:val="28"/>
              <w:szCs w:val="28"/>
              <w:lang w:val="en-US" w:eastAsia="zh-CN"/>
            </w:rPr>
            <w:t>……………………………49</w:t>
          </w:r>
        </w:p>
        <w:p w14:paraId="21CE3F3D">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五</w:t>
          </w:r>
          <w:r>
            <w:rPr>
              <w:rFonts w:hint="eastAsia" w:ascii="楷体" w:hAnsi="楷体" w:eastAsia="楷体" w:cs="楷体"/>
              <w:sz w:val="28"/>
              <w:szCs w:val="28"/>
            </w:rPr>
            <w:t>节　加强</w:t>
          </w:r>
          <w:r>
            <w:rPr>
              <w:rFonts w:hint="eastAsia" w:ascii="楷体" w:hAnsi="楷体" w:eastAsia="楷体" w:cs="楷体"/>
              <w:sz w:val="28"/>
              <w:szCs w:val="28"/>
              <w:lang w:eastAsia="zh-CN"/>
            </w:rPr>
            <w:t>基层</w:t>
          </w:r>
          <w:r>
            <w:rPr>
              <w:rFonts w:hint="eastAsia" w:ascii="楷体" w:hAnsi="楷体" w:eastAsia="楷体" w:cs="楷体"/>
              <w:sz w:val="28"/>
              <w:szCs w:val="28"/>
            </w:rPr>
            <w:t>社会治理</w:t>
          </w:r>
          <w:r>
            <w:rPr>
              <w:rFonts w:hint="eastAsia" w:ascii="楷体" w:hAnsi="楷体" w:eastAsia="楷体" w:cs="楷体"/>
              <w:sz w:val="28"/>
              <w:szCs w:val="28"/>
              <w:lang w:val="en-US" w:eastAsia="zh-CN"/>
            </w:rPr>
            <w:t>……………………………………50</w:t>
          </w:r>
        </w:p>
        <w:p w14:paraId="50DAB4B8">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w:t>
          </w:r>
          <w:r>
            <w:rPr>
              <w:rFonts w:hint="eastAsia" w:ascii="楷体" w:hAnsi="楷体" w:eastAsia="楷体" w:cs="楷体"/>
              <w:sz w:val="28"/>
              <w:szCs w:val="28"/>
              <w:lang w:eastAsia="zh-CN"/>
            </w:rPr>
            <w:t>六</w:t>
          </w:r>
          <w:r>
            <w:rPr>
              <w:rFonts w:hint="eastAsia" w:ascii="楷体" w:hAnsi="楷体" w:eastAsia="楷体" w:cs="楷体"/>
              <w:sz w:val="28"/>
              <w:szCs w:val="28"/>
            </w:rPr>
            <w:t>节　</w:t>
          </w:r>
          <w:r>
            <w:rPr>
              <w:rFonts w:hint="eastAsia" w:ascii="楷体" w:hAnsi="楷体" w:eastAsia="楷体" w:cs="楷体"/>
              <w:sz w:val="28"/>
              <w:szCs w:val="28"/>
              <w:lang w:eastAsia="zh-CN"/>
            </w:rPr>
            <w:t>全面提高公共安全保障</w:t>
          </w:r>
          <w:r>
            <w:rPr>
              <w:rFonts w:hint="eastAsia" w:ascii="楷体" w:hAnsi="楷体" w:eastAsia="楷体" w:cs="楷体"/>
              <w:sz w:val="28"/>
              <w:szCs w:val="28"/>
              <w:lang w:val="en-US" w:eastAsia="zh-CN"/>
            </w:rPr>
            <w:t>……………………………………51</w:t>
          </w:r>
          <w:r>
            <w:rPr>
              <w:rFonts w:hint="eastAsia" w:ascii="楷体" w:hAnsi="楷体" w:eastAsia="楷体" w:cs="楷体"/>
              <w:sz w:val="28"/>
              <w:szCs w:val="28"/>
            </w:rPr>
            <w:t>第</w:t>
          </w:r>
          <w:r>
            <w:rPr>
              <w:rFonts w:hint="eastAsia" w:ascii="楷体" w:hAnsi="楷体" w:eastAsia="楷体" w:cs="楷体"/>
              <w:sz w:val="28"/>
              <w:szCs w:val="28"/>
              <w:lang w:eastAsia="zh-CN"/>
            </w:rPr>
            <w:t>七</w:t>
          </w:r>
          <w:r>
            <w:rPr>
              <w:rFonts w:hint="eastAsia" w:ascii="楷体" w:hAnsi="楷体" w:eastAsia="楷体" w:cs="楷体"/>
              <w:sz w:val="28"/>
              <w:szCs w:val="28"/>
            </w:rPr>
            <w:t>节　</w:t>
          </w:r>
          <w:r>
            <w:rPr>
              <w:rFonts w:hint="eastAsia" w:ascii="楷体" w:hAnsi="楷体" w:eastAsia="楷体" w:cs="楷体"/>
              <w:sz w:val="28"/>
              <w:szCs w:val="28"/>
              <w:lang w:eastAsia="zh-CN"/>
            </w:rPr>
            <w:t>深化平安爱民建设</w:t>
          </w:r>
          <w:r>
            <w:rPr>
              <w:rFonts w:hint="eastAsia" w:ascii="楷体" w:hAnsi="楷体" w:eastAsia="楷体" w:cs="楷体"/>
              <w:sz w:val="28"/>
              <w:szCs w:val="28"/>
              <w:lang w:val="en-US" w:eastAsia="zh-CN"/>
            </w:rPr>
            <w:t>……………………………………54</w:t>
          </w:r>
        </w:p>
        <w:p w14:paraId="525FE1CA">
          <w:pPr>
            <w:pStyle w:val="8"/>
            <w:tabs>
              <w:tab w:val="right" w:leader="middleDot" w:pos="8306"/>
            </w:tabs>
            <w:jc w:val="distribute"/>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_Toc20662 </w:instrText>
          </w:r>
          <w:r>
            <w:rPr>
              <w:rFonts w:hint="eastAsia" w:ascii="黑体" w:hAnsi="黑体" w:eastAsia="黑体" w:cs="黑体"/>
              <w:sz w:val="28"/>
              <w:szCs w:val="28"/>
            </w:rPr>
            <w:fldChar w:fldCharType="separate"/>
          </w:r>
          <w:r>
            <w:rPr>
              <w:rFonts w:hint="eastAsia" w:ascii="黑体" w:hAnsi="黑体" w:eastAsia="黑体" w:cs="黑体"/>
              <w:sz w:val="28"/>
              <w:szCs w:val="28"/>
            </w:rPr>
            <w:t>第</w:t>
          </w:r>
          <w:r>
            <w:rPr>
              <w:rFonts w:hint="eastAsia" w:ascii="黑体" w:hAnsi="黑体" w:eastAsia="黑体" w:cs="黑体"/>
              <w:sz w:val="28"/>
              <w:szCs w:val="28"/>
              <w:lang w:eastAsia="zh-CN"/>
            </w:rPr>
            <w:t>六</w:t>
          </w:r>
          <w:r>
            <w:rPr>
              <w:rFonts w:hint="eastAsia" w:ascii="黑体" w:hAnsi="黑体" w:eastAsia="黑体" w:cs="黑体"/>
              <w:sz w:val="28"/>
              <w:szCs w:val="28"/>
            </w:rPr>
            <w:t>章　实施保障</w:t>
          </w:r>
          <w:r>
            <w:rPr>
              <w:rFonts w:hint="eastAsia" w:ascii="黑体" w:hAnsi="黑体" w:eastAsia="黑体" w:cs="黑体"/>
              <w:sz w:val="28"/>
              <w:szCs w:val="28"/>
            </w:rPr>
            <w:fldChar w:fldCharType="end"/>
          </w:r>
          <w:r>
            <w:rPr>
              <w:rFonts w:hint="eastAsia" w:ascii="楷体" w:hAnsi="楷体" w:eastAsia="楷体" w:cs="楷体"/>
              <w:sz w:val="28"/>
              <w:szCs w:val="28"/>
              <w:lang w:val="en-US" w:eastAsia="zh-CN"/>
            </w:rPr>
            <w:t>………………………………………………55</w:t>
          </w:r>
        </w:p>
        <w:p w14:paraId="39D1D214">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第一节　加强党的全面领导</w:t>
          </w:r>
          <w:r>
            <w:rPr>
              <w:rFonts w:hint="eastAsia" w:ascii="楷体" w:hAnsi="楷体" w:eastAsia="楷体" w:cs="楷体"/>
              <w:sz w:val="28"/>
              <w:szCs w:val="28"/>
              <w:lang w:val="en-US" w:eastAsia="zh-CN"/>
            </w:rPr>
            <w:t>…………………………………………55</w:t>
          </w:r>
        </w:p>
        <w:p w14:paraId="3429DA6E">
          <w:pPr>
            <w:jc w:val="distribute"/>
            <w:rPr>
              <w:rFonts w:hint="default" w:ascii="楷体" w:hAnsi="楷体" w:eastAsia="楷体" w:cs="楷体"/>
              <w:sz w:val="28"/>
              <w:szCs w:val="28"/>
              <w:lang w:val="en-US" w:eastAsia="zh-CN"/>
            </w:rPr>
          </w:pPr>
          <w:r>
            <w:rPr>
              <w:rFonts w:hint="eastAsia" w:ascii="楷体" w:hAnsi="楷体" w:eastAsia="楷体" w:cs="楷体"/>
              <w:sz w:val="28"/>
              <w:szCs w:val="28"/>
            </w:rPr>
            <w:t>第二节　</w:t>
          </w:r>
          <w:r>
            <w:rPr>
              <w:rFonts w:hint="eastAsia" w:ascii="楷体" w:hAnsi="楷体" w:eastAsia="楷体" w:cs="楷体"/>
              <w:sz w:val="28"/>
              <w:szCs w:val="28"/>
              <w:lang w:eastAsia="zh-CN"/>
            </w:rPr>
            <w:t>充分</w:t>
          </w:r>
          <w:r>
            <w:rPr>
              <w:rFonts w:hint="eastAsia" w:ascii="楷体" w:hAnsi="楷体" w:eastAsia="楷体" w:cs="楷体"/>
              <w:sz w:val="28"/>
              <w:szCs w:val="28"/>
            </w:rPr>
            <w:t>动员社会力量</w:t>
          </w:r>
          <w:r>
            <w:rPr>
              <w:rFonts w:hint="eastAsia" w:ascii="楷体" w:hAnsi="楷体" w:eastAsia="楷体" w:cs="楷体"/>
              <w:sz w:val="28"/>
              <w:szCs w:val="28"/>
              <w:lang w:val="en-US" w:eastAsia="zh-CN"/>
            </w:rPr>
            <w:t>…………………………………………56</w:t>
          </w:r>
        </w:p>
        <w:p w14:paraId="5DCCE1EC">
          <w:pPr>
            <w:jc w:val="distribute"/>
            <w:rPr>
              <w:rFonts w:hint="default" w:ascii="楷体" w:hAnsi="楷体" w:eastAsia="楷体" w:cs="楷体"/>
              <w:sz w:val="28"/>
              <w:szCs w:val="28"/>
              <w:lang w:val="en-US"/>
            </w:rPr>
          </w:pPr>
          <w:r>
            <w:rPr>
              <w:rFonts w:hint="eastAsia" w:ascii="楷体" w:hAnsi="楷体" w:eastAsia="楷体" w:cs="楷体"/>
              <w:sz w:val="28"/>
              <w:szCs w:val="28"/>
            </w:rPr>
            <w:t>第三节　</w:t>
          </w:r>
          <w:r>
            <w:rPr>
              <w:rFonts w:hint="eastAsia" w:ascii="楷体" w:hAnsi="楷体" w:eastAsia="楷体" w:cs="楷体"/>
              <w:sz w:val="28"/>
              <w:szCs w:val="28"/>
              <w:lang w:eastAsia="zh-CN"/>
            </w:rPr>
            <w:t>健全统一规划体系</w:t>
          </w:r>
          <w:r>
            <w:rPr>
              <w:rFonts w:hint="eastAsia" w:ascii="楷体" w:hAnsi="楷体" w:eastAsia="楷体" w:cs="楷体"/>
              <w:sz w:val="28"/>
              <w:szCs w:val="28"/>
              <w:lang w:val="en-US" w:eastAsia="zh-CN"/>
            </w:rPr>
            <w:t>…………………………………………57</w:t>
          </w:r>
          <w:r>
            <w:rPr>
              <w:rFonts w:hint="eastAsia" w:ascii="楷体" w:hAnsi="楷体" w:eastAsia="楷体" w:cs="楷体"/>
              <w:sz w:val="28"/>
              <w:szCs w:val="28"/>
            </w:rPr>
            <w:t>第四节　</w:t>
          </w:r>
          <w:r>
            <w:rPr>
              <w:rFonts w:hint="eastAsia" w:ascii="楷体" w:hAnsi="楷体" w:eastAsia="楷体" w:cs="楷体"/>
              <w:sz w:val="28"/>
              <w:szCs w:val="28"/>
              <w:lang w:val="en-US" w:eastAsia="zh-CN"/>
            </w:rPr>
            <w:t>完善</w:t>
          </w:r>
          <w:r>
            <w:rPr>
              <w:rFonts w:hint="eastAsia" w:ascii="楷体" w:hAnsi="楷体" w:eastAsia="楷体" w:cs="楷体"/>
              <w:sz w:val="28"/>
              <w:szCs w:val="28"/>
            </w:rPr>
            <w:t>规划</w:t>
          </w:r>
          <w:r>
            <w:rPr>
              <w:rFonts w:hint="eastAsia" w:ascii="楷体" w:hAnsi="楷体" w:eastAsia="楷体" w:cs="楷体"/>
              <w:sz w:val="28"/>
              <w:szCs w:val="28"/>
              <w:lang w:eastAsia="zh-CN"/>
            </w:rPr>
            <w:t>实施</w:t>
          </w:r>
          <w:r>
            <w:rPr>
              <w:rFonts w:hint="eastAsia" w:ascii="楷体" w:hAnsi="楷体" w:eastAsia="楷体" w:cs="楷体"/>
              <w:sz w:val="28"/>
              <w:szCs w:val="28"/>
            </w:rPr>
            <w:t>机制</w:t>
          </w:r>
          <w:r>
            <w:rPr>
              <w:rFonts w:hint="eastAsia" w:ascii="楷体" w:hAnsi="楷体" w:eastAsia="楷体" w:cs="楷体"/>
              <w:sz w:val="28"/>
              <w:szCs w:val="28"/>
              <w:lang w:val="en-US" w:eastAsia="zh-CN"/>
            </w:rPr>
            <w:t>…………………………………………57</w:t>
          </w:r>
        </w:p>
        <w:p w14:paraId="25CBC1D4">
          <w:pPr>
            <w:jc w:val="distribute"/>
            <w:rPr>
              <w:rFonts w:hint="default" w:ascii="楷体" w:hAnsi="楷体" w:eastAsia="楷体" w:cs="楷体"/>
              <w:sz w:val="28"/>
              <w:szCs w:val="28"/>
              <w:lang w:val="en-US"/>
            </w:rPr>
          </w:pPr>
          <w:r>
            <w:rPr>
              <w:rFonts w:hint="eastAsia" w:ascii="楷体" w:hAnsi="楷体" w:eastAsia="楷体" w:cs="楷体"/>
              <w:sz w:val="28"/>
              <w:szCs w:val="28"/>
            </w:rPr>
            <w:t>第五节　强化政策项目支撑</w:t>
          </w:r>
          <w:r>
            <w:rPr>
              <w:rFonts w:hint="eastAsia" w:ascii="楷体" w:hAnsi="楷体" w:eastAsia="楷体" w:cs="楷体"/>
              <w:sz w:val="28"/>
              <w:szCs w:val="28"/>
              <w:lang w:val="en-US" w:eastAsia="zh-CN"/>
            </w:rPr>
            <w:t>…………………………………………58</w:t>
          </w:r>
        </w:p>
        <w:p w14:paraId="3104BC2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宋体" w:hAnsi="宋体" w:eastAsia="宋体" w:cstheme="minorBidi"/>
              <w:b/>
              <w:kern w:val="2"/>
              <w:sz w:val="20"/>
              <w:szCs w:val="22"/>
              <w:lang w:val="en-US" w:eastAsia="zh-CN" w:bidi="ar-SA"/>
            </w:rPr>
          </w:pPr>
          <w:r>
            <w:rPr>
              <w:sz w:val="20"/>
              <w:szCs w:val="22"/>
            </w:rPr>
            <w:fldChar w:fldCharType="end"/>
          </w:r>
        </w:p>
        <w:p w14:paraId="35CFB96C">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宋体" w:hAnsi="宋体" w:eastAsia="宋体" w:cstheme="minorBidi"/>
              <w:b/>
              <w:kern w:val="2"/>
              <w:sz w:val="20"/>
              <w:szCs w:val="22"/>
              <w:lang w:val="en-US" w:eastAsia="zh-CN" w:bidi="ar-SA"/>
            </w:rPr>
          </w:pPr>
          <w:r>
            <w:rPr>
              <w:sz w:val="20"/>
              <w:szCs w:val="22"/>
            </w:rPr>
            <w:fldChar w:fldCharType="end"/>
          </w:r>
        </w:p>
      </w:sdtContent>
    </w:sdt>
    <w:p w14:paraId="1949468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黑体" w:hAnsi="黑体" w:eastAsia="黑体" w:cs="黑体"/>
          <w:sz w:val="40"/>
          <w:szCs w:val="40"/>
          <w:lang w:eastAsia="zh-CN"/>
        </w:rPr>
        <w:sectPr>
          <w:footerReference r:id="rId3" w:type="default"/>
          <w:pgSz w:w="11906" w:h="16838"/>
          <w:pgMar w:top="1440" w:right="1800" w:bottom="1440" w:left="1800" w:header="851" w:footer="992" w:gutter="0"/>
          <w:pgNumType w:fmt="numberInDash" w:start="1"/>
          <w:cols w:space="425" w:num="1"/>
          <w:docGrid w:type="lines" w:linePitch="312" w:charSpace="0"/>
        </w:sectPr>
      </w:pPr>
    </w:p>
    <w:p w14:paraId="71AB5E9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前</w:t>
      </w:r>
      <w:r>
        <w:rPr>
          <w:rFonts w:hint="eastAsia" w:ascii="黑体" w:hAnsi="黑体" w:eastAsia="黑体" w:cs="黑体"/>
          <w:sz w:val="44"/>
          <w:szCs w:val="44"/>
          <w:lang w:val="en-US" w:eastAsia="zh-CN"/>
        </w:rPr>
        <w:t xml:space="preserve">     </w:t>
      </w:r>
      <w:r>
        <w:rPr>
          <w:rFonts w:hint="eastAsia" w:ascii="黑体" w:hAnsi="黑体" w:eastAsia="黑体" w:cs="黑体"/>
          <w:sz w:val="44"/>
          <w:szCs w:val="44"/>
          <w:lang w:eastAsia="zh-CN"/>
        </w:rPr>
        <w:t>言</w:t>
      </w:r>
    </w:p>
    <w:p w14:paraId="58461DB0">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p>
    <w:p w14:paraId="7D36A8F6">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“十四五”时期是我国全面建成小康社会、实现第一个百年奋斗目标之后，</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乘</w:t>
      </w:r>
      <w:r>
        <w:rPr>
          <w:rFonts w:ascii="Times New Roman" w:hAnsi="Times New Roman" w:eastAsia="仿宋_GB2312" w:cs="Times New Roman"/>
          <w:color w:val="000000" w:themeColor="text1"/>
          <w:sz w:val="32"/>
          <w:szCs w:val="32"/>
          <w14:textFill>
            <w14:solidFill>
              <w14:schemeClr w14:val="tx1"/>
            </w14:solidFill>
          </w14:textFill>
        </w:rPr>
        <w:t>势而上开启全面建设社会主义现代化国家新征程、向第二个百年奋斗目标进军的第一个五年。本纲要以习近平新时代中国特色社会主义思想为指导，根据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中央及省、市、区委规划纲要和远景目标建议</w:t>
      </w:r>
      <w:r>
        <w:rPr>
          <w:rFonts w:ascii="Times New Roman" w:hAnsi="Times New Roman" w:eastAsia="仿宋_GB2312" w:cs="Times New Roman"/>
          <w:color w:val="000000" w:themeColor="text1"/>
          <w:sz w:val="32"/>
          <w:szCs w:val="32"/>
          <w14:textFill>
            <w14:solidFill>
              <w14:schemeClr w14:val="tx1"/>
            </w14:solidFill>
          </w14:textFill>
        </w:rPr>
        <w:t>编制，主要阐明建设社会主义现代化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新爱民</w:t>
      </w:r>
      <w:r>
        <w:rPr>
          <w:rFonts w:ascii="Times New Roman" w:hAnsi="Times New Roman" w:eastAsia="仿宋_GB2312" w:cs="Times New Roman"/>
          <w:color w:val="000000" w:themeColor="text1"/>
          <w:sz w:val="32"/>
          <w:szCs w:val="32"/>
          <w14:textFill>
            <w14:solidFill>
              <w14:schemeClr w14:val="tx1"/>
            </w14:solidFill>
          </w14:textFill>
        </w:rPr>
        <w:t>奋斗目标在规划期内的战略部署，是今后五年全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国民经济和社会发展的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宏伟</w:t>
      </w:r>
      <w:r>
        <w:rPr>
          <w:rFonts w:ascii="Times New Roman" w:hAnsi="Times New Roman" w:eastAsia="仿宋_GB2312" w:cs="Times New Roman"/>
          <w:color w:val="000000" w:themeColor="text1"/>
          <w:sz w:val="32"/>
          <w:szCs w:val="32"/>
          <w14:textFill>
            <w14:solidFill>
              <w14:schemeClr w14:val="tx1"/>
            </w14:solidFill>
          </w14:textFill>
        </w:rPr>
        <w:t>蓝图，是全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人民共同奋斗的行动纲领。</w:t>
      </w:r>
    </w:p>
    <w:p w14:paraId="47687B09">
      <w:pPr>
        <w:keepNext w:val="0"/>
        <w:keepLines w:val="0"/>
        <w:pageBreakBefore w:val="0"/>
        <w:kinsoku/>
        <w:wordWrap/>
        <w:overflowPunct/>
        <w:topLinePunct w:val="0"/>
        <w:autoSpaceDE/>
        <w:autoSpaceDN/>
        <w:bidi w:val="0"/>
        <w:adjustRightInd/>
        <w:snapToGrid/>
        <w:spacing w:line="580" w:lineRule="exact"/>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p>
    <w:p w14:paraId="68A9984B">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580" w:lineRule="exact"/>
        <w:ind w:left="0" w:leftChars="0" w:firstLine="0" w:firstLineChars="0"/>
        <w:jc w:val="center"/>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全面建成小康社会，开启建设现代化爱民新征程</w:t>
      </w:r>
    </w:p>
    <w:p w14:paraId="76865D3C">
      <w:pPr>
        <w:pStyle w:val="4"/>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line="580" w:lineRule="exact"/>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 取得的主要成就</w:t>
      </w:r>
    </w:p>
    <w:p w14:paraId="2F429603">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十三五”时期，全区坚持以习近平新时代中国特色社会主义思想为指导，全面贯彻党的十九大和十九届二中、三中、四中、五中全会精神，落实习近平总书记在深入推进东北振兴座谈会上的重要讲话和对我省重要讲话重要指示批示精神，坚持贯彻新发展理念，始终紧扣全面振兴全方位振兴主题，坚持深化供给侧结构性改革，坚持稳中求进工作总基调，统筹推进疫情防控和经济社会发展，锐意进取、奋力拼搏、攻坚克难、开拓创新，圆满完成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十三五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”规划的主要目标任务，与全国同步全面建成小康社会。</w:t>
      </w:r>
    </w:p>
    <w:p w14:paraId="050E6358">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3" w:firstLineChars="200"/>
        <w:jc w:val="both"/>
        <w:textAlignment w:val="auto"/>
        <w:rPr>
          <w:rFonts w:hint="default" w:ascii="仿宋_GB2312" w:hAnsi="宋体" w:eastAsia="仿宋_GB2312"/>
          <w:color w:val="000000"/>
          <w:sz w:val="32"/>
          <w:szCs w:val="32"/>
          <w:lang w:val="en-US"/>
        </w:rPr>
      </w:pPr>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发展质量显著提升。</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深入实施“一体两翼”发展战略。</w:t>
      </w:r>
      <w:r>
        <w:rPr>
          <w:rFonts w:ascii="Times New Roman" w:hAnsi="Times New Roman" w:eastAsia="仿宋_GB2312" w:cs="Times New Roman"/>
          <w:color w:val="000000" w:themeColor="text1"/>
          <w:sz w:val="32"/>
          <w:szCs w:val="32"/>
          <w14:textFill>
            <w14:solidFill>
              <w14:schemeClr w14:val="tx1"/>
            </w14:solidFill>
          </w14:textFill>
        </w:rPr>
        <w:t>大力发展实体经济，积极培育发展新动能，经济</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发展持续</w:t>
      </w:r>
      <w:r>
        <w:rPr>
          <w:rFonts w:ascii="Times New Roman" w:hAnsi="Times New Roman" w:eastAsia="仿宋_GB2312" w:cs="Times New Roman"/>
          <w:color w:val="000000" w:themeColor="text1"/>
          <w:sz w:val="32"/>
          <w:szCs w:val="32"/>
          <w14:textFill>
            <w14:solidFill>
              <w14:schemeClr w14:val="tx1"/>
            </w14:solidFill>
          </w14:textFill>
        </w:rPr>
        <w:t>向好</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做实做优做深“三篇大文章”，“老字号”改造不断升级，“原字号”持续深度开发，“新字号”逐步发展壮大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。五</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年来，累计落地亿元以上项目29个，千万元以上项目98个，完成“十三五”规划目标的116%。月星环球港、华富电力、中农发等10亿级以上项目纷纷签约落地，重大项目支撑经济社会发展的作用显著提升。</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全区</w:t>
      </w:r>
      <w:r>
        <w:rPr>
          <w:rFonts w:hint="eastAsia" w:ascii="仿宋_GB2312" w:hAnsi="宋体" w:eastAsia="仿宋_GB2312"/>
          <w:color w:val="000000"/>
          <w:sz w:val="32"/>
          <w:szCs w:val="32"/>
          <w:lang w:val="en-US" w:eastAsia="zh-CN"/>
        </w:rPr>
        <w:t>GDP</w:t>
      </w:r>
      <w:r>
        <w:rPr>
          <w:rFonts w:hint="eastAsia" w:ascii="仿宋_GB2312" w:hAnsi="宋体" w:eastAsia="仿宋_GB2312"/>
          <w:color w:val="000000"/>
          <w:sz w:val="32"/>
          <w:szCs w:val="32"/>
          <w:lang w:eastAsia="zh-CN"/>
        </w:rPr>
        <w:t>同比增长</w:t>
      </w:r>
      <w:r>
        <w:rPr>
          <w:rFonts w:hint="eastAsia" w:ascii="仿宋_GB2312" w:hAnsi="宋体" w:eastAsia="仿宋_GB2312"/>
          <w:color w:val="000000"/>
          <w:sz w:val="32"/>
          <w:szCs w:val="32"/>
          <w:lang w:val="en-US" w:eastAsia="zh-CN"/>
        </w:rPr>
        <w:t>0.1%</w:t>
      </w:r>
      <w:r>
        <w:rPr>
          <w:rFonts w:hint="eastAsia" w:ascii="仿宋_GB2312" w:hAnsi="宋体" w:eastAsia="仿宋_GB2312"/>
          <w:color w:val="000000"/>
          <w:sz w:val="32"/>
          <w:szCs w:val="32"/>
        </w:rPr>
        <w:t>，年均递增</w:t>
      </w:r>
      <w:r>
        <w:rPr>
          <w:rFonts w:hint="eastAsia" w:ascii="仿宋_GB2312" w:hAnsi="宋体" w:eastAsia="仿宋_GB2312"/>
          <w:color w:val="000000"/>
          <w:sz w:val="32"/>
          <w:szCs w:val="32"/>
          <w:lang w:val="en-US" w:eastAsia="zh-CN"/>
        </w:rPr>
        <w:t>3.8</w:t>
      </w:r>
      <w:r>
        <w:rPr>
          <w:rFonts w:hint="eastAsia" w:ascii="仿宋_GB2312" w:hAnsi="宋体" w:eastAsia="仿宋_GB2312"/>
          <w:color w:val="000000"/>
          <w:sz w:val="32"/>
          <w:szCs w:val="32"/>
        </w:rPr>
        <w:t>%，为201</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年的</w:t>
      </w:r>
      <w:r>
        <w:rPr>
          <w:rFonts w:hint="eastAsia" w:ascii="仿宋_GB2312" w:hAnsi="宋体" w:eastAsia="仿宋_GB2312"/>
          <w:color w:val="000000"/>
          <w:sz w:val="32"/>
          <w:szCs w:val="32"/>
          <w:lang w:val="en-US" w:eastAsia="zh-CN"/>
        </w:rPr>
        <w:t>1.2</w:t>
      </w:r>
      <w:r>
        <w:rPr>
          <w:rFonts w:hint="eastAsia" w:ascii="仿宋_GB2312" w:hAnsi="宋体" w:eastAsia="仿宋_GB2312"/>
          <w:color w:val="000000"/>
          <w:sz w:val="32"/>
          <w:szCs w:val="32"/>
        </w:rPr>
        <w:t>倍</w:t>
      </w:r>
      <w:r>
        <w:rPr>
          <w:rFonts w:hint="eastAsia" w:ascii="仿宋_GB2312" w:hAnsi="宋体" w:eastAsia="仿宋_GB2312"/>
          <w:color w:val="000000"/>
          <w:sz w:val="32"/>
          <w:szCs w:val="32"/>
          <w:lang w:eastAsia="zh-CN"/>
        </w:rPr>
        <w:t>。财政收入实现</w:t>
      </w:r>
      <w:r>
        <w:rPr>
          <w:rFonts w:hint="eastAsia" w:ascii="仿宋_GB2312" w:hAnsi="宋体" w:eastAsia="仿宋_GB2312"/>
          <w:color w:val="000000"/>
          <w:sz w:val="32"/>
          <w:szCs w:val="32"/>
          <w:lang w:val="en-US" w:eastAsia="zh-CN"/>
        </w:rPr>
        <w:t>1.68亿元。</w:t>
      </w:r>
      <w:r>
        <w:rPr>
          <w:rFonts w:hint="eastAsia" w:ascii="仿宋_GB2312" w:hAnsi="宋体" w:eastAsia="仿宋_GB2312"/>
          <w:color w:val="000000"/>
          <w:sz w:val="32"/>
          <w:szCs w:val="32"/>
        </w:rPr>
        <w:t>固定资产年均递增</w:t>
      </w:r>
      <w:r>
        <w:rPr>
          <w:rFonts w:hint="eastAsia" w:ascii="仿宋_GB2312" w:hAnsi="宋体" w:eastAsia="仿宋_GB2312"/>
          <w:color w:val="000000"/>
          <w:sz w:val="32"/>
          <w:szCs w:val="32"/>
          <w:lang w:val="en-US" w:eastAsia="zh-CN"/>
        </w:rPr>
        <w:t>28.4</w:t>
      </w:r>
      <w:r>
        <w:rPr>
          <w:rFonts w:hint="eastAsia" w:ascii="仿宋_GB2312" w:hAnsi="宋体" w:eastAsia="仿宋_GB2312"/>
          <w:color w:val="000000"/>
          <w:sz w:val="32"/>
          <w:szCs w:val="32"/>
        </w:rPr>
        <w:t>%，为201</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年的</w:t>
      </w:r>
      <w:r>
        <w:rPr>
          <w:rFonts w:hint="eastAsia" w:ascii="仿宋_GB2312" w:hAnsi="宋体" w:eastAsia="仿宋_GB2312"/>
          <w:color w:val="000000"/>
          <w:sz w:val="32"/>
          <w:szCs w:val="32"/>
          <w:lang w:val="en-US" w:eastAsia="zh-CN"/>
        </w:rPr>
        <w:t>2.3</w:t>
      </w:r>
      <w:r>
        <w:rPr>
          <w:rFonts w:hint="eastAsia" w:ascii="仿宋_GB2312" w:hAnsi="宋体" w:eastAsia="仿宋_GB2312"/>
          <w:color w:val="000000"/>
          <w:sz w:val="32"/>
          <w:szCs w:val="32"/>
        </w:rPr>
        <w:t>倍</w:t>
      </w:r>
      <w:r>
        <w:rPr>
          <w:rFonts w:hint="eastAsia" w:ascii="仿宋_GB2312" w:hAnsi="宋体" w:eastAsia="仿宋_GB2312"/>
          <w:color w:val="000000"/>
          <w:sz w:val="32"/>
          <w:szCs w:val="32"/>
          <w:lang w:eastAsia="zh-CN"/>
        </w:rPr>
        <w:t>。</w:t>
      </w:r>
    </w:p>
    <w:p w14:paraId="17DCF5E2">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rPr>
      </w:pPr>
      <w:r>
        <w:rPr>
          <w:rFonts w:hint="eastAsia" w:ascii="仿宋_GB2312" w:hAnsi="宋体" w:eastAsia="仿宋_GB2312"/>
          <w:b/>
          <w:bCs/>
          <w:color w:val="000000"/>
          <w:sz w:val="32"/>
          <w:szCs w:val="32"/>
          <w:lang w:eastAsia="zh-CN"/>
        </w:rPr>
        <w:t>产业优势更加凸显。</w:t>
      </w:r>
      <w:r>
        <w:rPr>
          <w:rFonts w:hint="eastAsia" w:ascii="仿宋_GB2312" w:hAnsi="宋体" w:eastAsia="仿宋_GB2312"/>
          <w:b w:val="0"/>
          <w:bCs w:val="0"/>
          <w:color w:val="000000"/>
          <w:sz w:val="32"/>
          <w:szCs w:val="32"/>
          <w:lang w:eastAsia="zh-CN"/>
        </w:rPr>
        <w:t>持续开展产业项目攻坚行动，按照“六个一批”的发展思路，</w:t>
      </w:r>
      <w:r>
        <w:rPr>
          <w:rFonts w:ascii="Times New Roman" w:hAnsi="Times New Roman" w:eastAsia="仿宋_GB2312" w:cs="Times New Roman"/>
          <w:color w:val="000000" w:themeColor="text1"/>
          <w:sz w:val="32"/>
          <w:szCs w:val="32"/>
          <w14:textFill>
            <w14:solidFill>
              <w14:schemeClr w14:val="tx1"/>
            </w14:solidFill>
          </w14:textFill>
        </w:rPr>
        <w:t>统筹推进传统产业改造和新兴产业培育</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。特色</w:t>
      </w:r>
      <w:r>
        <w:rPr>
          <w:rFonts w:hint="eastAsia" w:ascii="仿宋_GB2312" w:hAnsi="宋体" w:eastAsia="仿宋_GB2312"/>
          <w:color w:val="000000"/>
          <w:sz w:val="32"/>
          <w:szCs w:val="32"/>
        </w:rPr>
        <w:t>农业</w:t>
      </w:r>
      <w:r>
        <w:rPr>
          <w:rFonts w:hint="eastAsia" w:ascii="仿宋_GB2312" w:hAnsi="宋体" w:eastAsia="仿宋_GB2312"/>
          <w:color w:val="000000"/>
          <w:sz w:val="32"/>
          <w:szCs w:val="32"/>
          <w:lang w:eastAsia="zh-CN"/>
        </w:rPr>
        <w:t>种植养殖逐步形成规模。农村新型经营主体发展到</w:t>
      </w:r>
      <w:r>
        <w:rPr>
          <w:rFonts w:hint="eastAsia" w:ascii="仿宋_GB2312" w:hAnsi="宋体" w:eastAsia="仿宋_GB2312"/>
          <w:color w:val="000000"/>
          <w:sz w:val="32"/>
          <w:szCs w:val="32"/>
          <w:lang w:val="en-US" w:eastAsia="zh-CN"/>
        </w:rPr>
        <w:t>157个，比“十三五”初期增加63个。</w:t>
      </w:r>
      <w:r>
        <w:rPr>
          <w:rFonts w:hint="eastAsia" w:ascii="仿宋_GB2312" w:hAnsi="宋体" w:eastAsia="仿宋_GB2312"/>
          <w:color w:val="000000"/>
          <w:sz w:val="32"/>
          <w:szCs w:val="32"/>
          <w:lang w:eastAsia="zh-CN"/>
        </w:rPr>
        <w:t>丰收莓瑰农业观光采摘基地被评为省级乡村旅游示范点，笨笨乐成为全市生猪生产供应规模最大的龙头企业，康之源被评为国家级农业产业龙头企业。</w:t>
      </w:r>
      <w:r>
        <w:rPr>
          <w:rFonts w:hint="eastAsia" w:ascii="仿宋_GB2312" w:hAnsi="宋体" w:eastAsia="仿宋_GB2312"/>
          <w:color w:val="000000"/>
          <w:sz w:val="32"/>
          <w:szCs w:val="32"/>
        </w:rPr>
        <w:t>工业基础不断夯实。</w:t>
      </w:r>
      <w:r>
        <w:rPr>
          <w:rFonts w:hint="eastAsia" w:ascii="仿宋_GB2312" w:hAnsi="宋体" w:eastAsia="仿宋_GB2312"/>
          <w:color w:val="000000"/>
          <w:sz w:val="32"/>
          <w:szCs w:val="32"/>
          <w:lang w:val="en-US" w:eastAsia="zh-CN"/>
        </w:rPr>
        <w:t>工业企业扩能改造、转型升级步伐加快。</w:t>
      </w:r>
      <w:r>
        <w:rPr>
          <w:rFonts w:hint="eastAsia" w:ascii="仿宋_GB2312" w:hAnsi="宋体" w:eastAsia="仿宋_GB2312"/>
          <w:color w:val="000000"/>
          <w:sz w:val="32"/>
          <w:szCs w:val="32"/>
        </w:rPr>
        <w:t>生物医药、装备制造</w:t>
      </w:r>
      <w:r>
        <w:rPr>
          <w:rFonts w:hint="eastAsia" w:ascii="仿宋_GB2312" w:hAnsi="宋体" w:eastAsia="仿宋_GB2312"/>
          <w:color w:val="000000"/>
          <w:sz w:val="32"/>
          <w:szCs w:val="32"/>
          <w:lang w:eastAsia="zh-CN"/>
        </w:rPr>
        <w:t>、新材料</w:t>
      </w:r>
      <w:r>
        <w:rPr>
          <w:rFonts w:hint="eastAsia" w:ascii="仿宋_GB2312" w:hAnsi="宋体" w:eastAsia="仿宋_GB2312"/>
          <w:color w:val="000000"/>
          <w:sz w:val="32"/>
          <w:szCs w:val="32"/>
          <w:lang w:val="en-US" w:eastAsia="zh-CN"/>
        </w:rPr>
        <w:t>三个主导产业发展迅猛，</w:t>
      </w:r>
      <w:r>
        <w:rPr>
          <w:rFonts w:hint="eastAsia" w:ascii="仿宋_GB2312" w:hAnsi="宋体" w:eastAsia="仿宋_GB2312"/>
          <w:color w:val="000000"/>
          <w:sz w:val="32"/>
          <w:szCs w:val="32"/>
        </w:rPr>
        <w:t>灵泰药业、金钢钻碳化硼、</w:t>
      </w:r>
      <w:r>
        <w:rPr>
          <w:rFonts w:hint="eastAsia" w:ascii="仿宋_GB2312" w:hAnsi="宋体" w:eastAsia="仿宋_GB2312"/>
          <w:color w:val="000000"/>
          <w:sz w:val="32"/>
          <w:szCs w:val="32"/>
          <w:lang w:eastAsia="zh-CN"/>
        </w:rPr>
        <w:t>恒远药</w:t>
      </w:r>
      <w:r>
        <w:rPr>
          <w:rFonts w:hint="eastAsia" w:ascii="仿宋_GB2312" w:hAnsi="宋体" w:eastAsia="仿宋_GB2312"/>
          <w:color w:val="000000"/>
          <w:sz w:val="32"/>
          <w:szCs w:val="32"/>
        </w:rPr>
        <w:t>业、中燃燃气等骨干企业支撑作用明显增强</w:t>
      </w:r>
      <w:r>
        <w:rPr>
          <w:rFonts w:hint="eastAsia" w:ascii="仿宋_GB2312" w:hAnsi="宋体" w:eastAsia="仿宋_GB2312"/>
          <w:color w:val="000000"/>
          <w:sz w:val="32"/>
          <w:szCs w:val="32"/>
          <w:lang w:eastAsia="zh-CN"/>
        </w:rPr>
        <w:t>，恒远药业、旭日新材料等</w:t>
      </w: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lang w:eastAsia="zh-CN"/>
        </w:rPr>
        <w:t>户企业实现倍增，增速为四城区前列</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规模以上工业企业达到</w:t>
      </w:r>
      <w:r>
        <w:rPr>
          <w:rFonts w:hint="eastAsia" w:ascii="仿宋_GB2312" w:hAnsi="宋体" w:eastAsia="仿宋_GB2312"/>
          <w:color w:val="000000"/>
          <w:sz w:val="32"/>
          <w:szCs w:val="32"/>
          <w:lang w:val="en-US" w:eastAsia="zh-CN"/>
        </w:rPr>
        <w:t>21</w:t>
      </w:r>
      <w:r>
        <w:rPr>
          <w:rFonts w:hint="eastAsia" w:ascii="仿宋_GB2312" w:hAnsi="宋体" w:eastAsia="仿宋_GB2312"/>
          <w:color w:val="000000"/>
          <w:sz w:val="32"/>
          <w:szCs w:val="32"/>
        </w:rPr>
        <w:t>户</w:t>
      </w:r>
      <w:r>
        <w:rPr>
          <w:rFonts w:hint="eastAsia" w:ascii="仿宋_GB2312" w:hAnsi="宋体" w:eastAsia="仿宋_GB2312"/>
          <w:color w:val="000000"/>
          <w:sz w:val="32"/>
          <w:szCs w:val="32"/>
          <w:lang w:eastAsia="zh-CN"/>
        </w:rPr>
        <w:t>。深入实施“三个三”计划，</w:t>
      </w:r>
      <w:r>
        <w:rPr>
          <w:rFonts w:hint="eastAsia" w:ascii="仿宋_GB2312" w:hAnsi="宋体" w:eastAsia="仿宋_GB2312"/>
          <w:color w:val="000000"/>
          <w:sz w:val="32"/>
          <w:szCs w:val="32"/>
          <w:highlight w:val="none"/>
          <w:lang w:eastAsia="zh-CN"/>
        </w:rPr>
        <w:t>盘活闲置厂房场地</w:t>
      </w:r>
      <w:r>
        <w:rPr>
          <w:rFonts w:hint="eastAsia" w:ascii="仿宋_GB2312" w:hAnsi="宋体" w:eastAsia="仿宋_GB2312"/>
          <w:color w:val="000000"/>
          <w:sz w:val="32"/>
          <w:szCs w:val="32"/>
          <w:highlight w:val="none"/>
          <w:lang w:val="en-US" w:eastAsia="zh-CN"/>
        </w:rPr>
        <w:t>87.55</w:t>
      </w:r>
      <w:r>
        <w:rPr>
          <w:rFonts w:hint="eastAsia" w:ascii="仿宋_GB2312" w:hAnsi="宋体" w:eastAsia="仿宋_GB2312"/>
          <w:color w:val="000000"/>
          <w:sz w:val="32"/>
          <w:szCs w:val="32"/>
          <w:highlight w:val="none"/>
          <w:lang w:eastAsia="zh-CN"/>
        </w:rPr>
        <w:t>万平方米</w:t>
      </w:r>
      <w:r>
        <w:rPr>
          <w:rFonts w:hint="eastAsia" w:ascii="仿宋_GB2312" w:hAnsi="宋体" w:eastAsia="仿宋_GB2312"/>
          <w:color w:val="000000"/>
          <w:sz w:val="32"/>
          <w:szCs w:val="32"/>
          <w:lang w:eastAsia="zh-CN"/>
        </w:rPr>
        <w:t>。现代</w:t>
      </w:r>
      <w:r>
        <w:rPr>
          <w:rFonts w:hint="eastAsia" w:ascii="仿宋_GB2312" w:hAnsi="宋体" w:eastAsia="仿宋_GB2312"/>
          <w:color w:val="000000"/>
          <w:sz w:val="32"/>
          <w:szCs w:val="32"/>
        </w:rPr>
        <w:t>服务业发展步伐加快。</w:t>
      </w:r>
      <w:r>
        <w:rPr>
          <w:rFonts w:hint="eastAsia" w:ascii="仿宋_GB2312" w:hAnsi="宋体" w:eastAsia="仿宋_GB2312"/>
          <w:color w:val="000000"/>
          <w:sz w:val="32"/>
          <w:szCs w:val="32"/>
          <w:lang w:eastAsia="zh-CN"/>
        </w:rPr>
        <w:t>按照“一核多点”的发展目标，月星环球港、公铁联运交通枢纽等一批带动性较强的项目成功落地并开工建设，</w:t>
      </w:r>
      <w:r>
        <w:rPr>
          <w:rFonts w:hint="eastAsia" w:ascii="仿宋_GB2312" w:hAnsi="宋体" w:eastAsia="仿宋_GB2312"/>
          <w:color w:val="000000"/>
          <w:sz w:val="32"/>
          <w:szCs w:val="32"/>
        </w:rPr>
        <w:t>桥北</w:t>
      </w:r>
      <w:r>
        <w:rPr>
          <w:rFonts w:hint="eastAsia" w:ascii="仿宋_GB2312" w:hAnsi="宋体" w:eastAsia="仿宋_GB2312"/>
          <w:color w:val="000000"/>
          <w:sz w:val="32"/>
          <w:szCs w:val="32"/>
          <w:lang w:eastAsia="zh-CN"/>
        </w:rPr>
        <w:t>商业中心</w:t>
      </w:r>
      <w:r>
        <w:rPr>
          <w:rFonts w:hint="eastAsia" w:ascii="仿宋_GB2312" w:hAnsi="宋体" w:eastAsia="仿宋_GB2312"/>
          <w:color w:val="000000"/>
          <w:sz w:val="32"/>
          <w:szCs w:val="32"/>
        </w:rPr>
        <w:t>已见雏形</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社会消费品零售总额</w:t>
      </w:r>
      <w:r>
        <w:rPr>
          <w:rFonts w:hint="eastAsia" w:ascii="仿宋_GB2312" w:hAnsi="宋体" w:eastAsia="仿宋_GB2312"/>
          <w:color w:val="000000"/>
          <w:sz w:val="32"/>
          <w:szCs w:val="32"/>
          <w:lang w:eastAsia="zh-CN"/>
        </w:rPr>
        <w:t>预计</w:t>
      </w:r>
      <w:r>
        <w:rPr>
          <w:rFonts w:hint="eastAsia" w:ascii="仿宋_GB2312" w:hAnsi="宋体" w:eastAsia="仿宋_GB2312"/>
          <w:color w:val="000000"/>
          <w:sz w:val="32"/>
          <w:szCs w:val="32"/>
        </w:rPr>
        <w:t>实现</w:t>
      </w:r>
      <w:r>
        <w:rPr>
          <w:rFonts w:hint="eastAsia" w:ascii="仿宋_GB2312" w:hAnsi="宋体" w:eastAsia="仿宋_GB2312"/>
          <w:color w:val="000000"/>
          <w:sz w:val="32"/>
          <w:szCs w:val="32"/>
          <w:lang w:val="en-US" w:eastAsia="zh-CN"/>
        </w:rPr>
        <w:t>20.99</w:t>
      </w:r>
      <w:r>
        <w:rPr>
          <w:rFonts w:hint="eastAsia" w:ascii="仿宋_GB2312" w:hAnsi="宋体" w:eastAsia="仿宋_GB2312"/>
          <w:color w:val="000000"/>
          <w:sz w:val="32"/>
          <w:szCs w:val="32"/>
        </w:rPr>
        <w:t>亿元，年均递增</w:t>
      </w:r>
      <w:r>
        <w:rPr>
          <w:rFonts w:hint="eastAsia" w:ascii="仿宋_GB2312" w:hAnsi="宋体" w:eastAsia="仿宋_GB2312"/>
          <w:color w:val="000000"/>
          <w:sz w:val="32"/>
          <w:szCs w:val="32"/>
          <w:lang w:val="en-US" w:eastAsia="zh-CN"/>
        </w:rPr>
        <w:t>4.9</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,为2015年的1.21倍</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以三道关国家级森林公园为核心的黄金旅游带初步建成，列入全市旅游重点发展区域</w:t>
      </w:r>
      <w:r>
        <w:rPr>
          <w:rFonts w:hint="eastAsia" w:ascii="仿宋_GB2312" w:hAnsi="宋体" w:eastAsia="仿宋_GB2312"/>
          <w:color w:val="000000"/>
          <w:sz w:val="32"/>
          <w:szCs w:val="32"/>
          <w:lang w:eastAsia="zh-CN"/>
        </w:rPr>
        <w:t>。“会客厅”文化氛围进一步提升。产业园区建设不断提档升级。富通、轴承、北方阀业等小微工业园区规模不断扩大，大庆路新型工业园区转型发展，功能布局更加明晰，与开发区、城投等合作共享机制初步形成。钢材批发市场等专业市场规模不断壮大。</w:t>
      </w:r>
    </w:p>
    <w:p w14:paraId="6993A4D1">
      <w:pPr>
        <w:keepNext w:val="0"/>
        <w:keepLines w:val="0"/>
        <w:pageBreakBefore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eastAsia="zh-CN"/>
        </w:rPr>
      </w:pPr>
      <w:r>
        <w:rPr>
          <w:rFonts w:hint="eastAsia" w:ascii="Times New Roman" w:hAnsi="Times New Roman" w:eastAsia="仿宋_GB2312" w:cs="Times New Roman"/>
          <w:b/>
          <w:bCs/>
          <w:color w:val="auto"/>
          <w:kern w:val="2"/>
          <w:sz w:val="32"/>
          <w:szCs w:val="32"/>
          <w:lang w:val="en-US" w:eastAsia="zh-CN" w:bidi="ar-SA"/>
        </w:rPr>
        <w:t>城区面貌大幅改观。</w:t>
      </w:r>
      <w:r>
        <w:rPr>
          <w:rFonts w:hint="eastAsia" w:ascii="仿宋_GB2312" w:hAnsi="宋体" w:eastAsia="仿宋_GB2312"/>
          <w:color w:val="000000"/>
          <w:sz w:val="32"/>
          <w:szCs w:val="32"/>
        </w:rPr>
        <w:t>旧城区改造步伐加快。累计完成开发项目</w:t>
      </w:r>
      <w:r>
        <w:rPr>
          <w:rFonts w:hint="eastAsia" w:ascii="仿宋_GB2312" w:hAnsi="宋体" w:eastAsia="仿宋_GB2312"/>
          <w:color w:val="000000"/>
          <w:sz w:val="32"/>
          <w:szCs w:val="32"/>
          <w:lang w:val="en-US" w:eastAsia="zh-CN"/>
        </w:rPr>
        <w:t>22</w:t>
      </w:r>
      <w:r>
        <w:rPr>
          <w:rFonts w:hint="eastAsia" w:ascii="仿宋_GB2312" w:hAnsi="宋体" w:eastAsia="仿宋_GB2312"/>
          <w:color w:val="000000"/>
          <w:sz w:val="32"/>
          <w:szCs w:val="32"/>
        </w:rPr>
        <w:t>个，</w:t>
      </w:r>
      <w:r>
        <w:rPr>
          <w:rFonts w:hint="eastAsia" w:ascii="仿宋_GB2312" w:hAnsi="宋体" w:eastAsia="仿宋_GB2312"/>
          <w:color w:val="000000"/>
          <w:sz w:val="32"/>
          <w:szCs w:val="32"/>
          <w:lang w:eastAsia="zh-CN"/>
        </w:rPr>
        <w:t>改造老</w:t>
      </w:r>
      <w:r>
        <w:rPr>
          <w:rFonts w:hint="eastAsia" w:ascii="仿宋_GB2312" w:hAnsi="宋体" w:eastAsia="仿宋_GB2312"/>
          <w:color w:val="000000"/>
          <w:sz w:val="32"/>
          <w:szCs w:val="32"/>
        </w:rPr>
        <w:t>旧住宅</w:t>
      </w:r>
      <w:r>
        <w:rPr>
          <w:rFonts w:hint="eastAsia" w:ascii="仿宋_GB2312" w:hAnsi="宋体" w:eastAsia="仿宋_GB2312"/>
          <w:color w:val="000000"/>
          <w:sz w:val="32"/>
          <w:szCs w:val="32"/>
          <w:lang w:eastAsia="zh-CN"/>
        </w:rPr>
        <w:t>小</w:t>
      </w:r>
      <w:r>
        <w:rPr>
          <w:rFonts w:hint="eastAsia" w:ascii="仿宋_GB2312" w:hAnsi="宋体" w:eastAsia="仿宋_GB2312"/>
          <w:color w:val="000000"/>
          <w:sz w:val="32"/>
          <w:szCs w:val="32"/>
        </w:rPr>
        <w:t>区</w:t>
      </w:r>
      <w:r>
        <w:rPr>
          <w:rFonts w:hint="eastAsia" w:ascii="仿宋_GB2312" w:hAnsi="宋体" w:eastAsia="仿宋_GB2312"/>
          <w:color w:val="000000"/>
          <w:sz w:val="32"/>
          <w:szCs w:val="32"/>
          <w:lang w:val="en-US" w:eastAsia="zh-CN"/>
        </w:rPr>
        <w:t>21.7</w:t>
      </w:r>
      <w:r>
        <w:rPr>
          <w:rFonts w:hint="eastAsia" w:ascii="仿宋_GB2312" w:hAnsi="宋体" w:eastAsia="仿宋_GB2312"/>
          <w:color w:val="000000"/>
          <w:sz w:val="32"/>
          <w:szCs w:val="32"/>
        </w:rPr>
        <w:t>万平方米，</w:t>
      </w:r>
      <w:r>
        <w:rPr>
          <w:rFonts w:hint="eastAsia" w:ascii="仿宋_GB2312" w:hAnsi="宋体" w:eastAsia="仿宋_GB2312"/>
          <w:color w:val="000000"/>
          <w:sz w:val="32"/>
          <w:szCs w:val="32"/>
          <w:lang w:eastAsia="zh-CN"/>
        </w:rPr>
        <w:t>在四城区中改造面积最大、受益居民最多。</w:t>
      </w:r>
      <w:r>
        <w:rPr>
          <w:rFonts w:hint="eastAsia" w:ascii="仿宋_GB2312" w:hAnsi="宋体" w:eastAsia="仿宋_GB2312"/>
          <w:color w:val="000000"/>
          <w:sz w:val="32"/>
          <w:szCs w:val="32"/>
        </w:rPr>
        <w:t>城市品位不断提升。相继开发绿地凯旋城、世贸假日山水等多个精品楼盘，</w:t>
      </w:r>
      <w:r>
        <w:rPr>
          <w:rFonts w:hint="eastAsia" w:ascii="仿宋_GB2312" w:hAnsi="宋体" w:eastAsia="仿宋_GB2312"/>
          <w:color w:val="000000"/>
          <w:sz w:val="32"/>
          <w:szCs w:val="32"/>
          <w:lang w:eastAsia="zh-CN"/>
        </w:rPr>
        <w:t>成功启动月星环球港项目。</w:t>
      </w:r>
      <w:r>
        <w:rPr>
          <w:rFonts w:hint="eastAsia" w:ascii="仿宋_GB2312" w:hAnsi="宋体" w:eastAsia="仿宋_GB2312"/>
          <w:color w:val="000000"/>
          <w:sz w:val="32"/>
          <w:szCs w:val="32"/>
        </w:rPr>
        <w:t>城市基础设施更加完善。</w:t>
      </w:r>
      <w:r>
        <w:rPr>
          <w:rFonts w:hint="eastAsia" w:ascii="仿宋_GB2312" w:hAnsi="宋体" w:eastAsia="仿宋_GB2312"/>
          <w:color w:val="000000"/>
          <w:sz w:val="32"/>
          <w:szCs w:val="32"/>
          <w:lang w:eastAsia="zh-CN"/>
        </w:rPr>
        <w:t>北太平路下穿全线贯通，虹云桥、西十一立交桥改造全面提档升级，</w:t>
      </w:r>
      <w:r>
        <w:rPr>
          <w:rFonts w:hint="eastAsia" w:ascii="仿宋_GB2312" w:hAnsi="宋体" w:eastAsia="仿宋_GB2312"/>
          <w:color w:val="000000"/>
          <w:sz w:val="32"/>
          <w:szCs w:val="32"/>
        </w:rPr>
        <w:t>黄花公路与海林公路实现对接</w:t>
      </w:r>
      <w:r>
        <w:rPr>
          <w:rFonts w:hint="eastAsia" w:ascii="仿宋_GB2312" w:hAnsi="宋体" w:eastAsia="仿宋_GB2312"/>
          <w:color w:val="000000"/>
          <w:sz w:val="32"/>
          <w:szCs w:val="32"/>
          <w:lang w:eastAsia="zh-CN"/>
        </w:rPr>
        <w:t>，大庆街按高标准重新翻建，</w:t>
      </w:r>
      <w:r>
        <w:rPr>
          <w:rFonts w:hint="eastAsia" w:ascii="仿宋_GB2312" w:hAnsi="宋体" w:eastAsia="仿宋_GB2312"/>
          <w:color w:val="000000"/>
          <w:sz w:val="32"/>
          <w:szCs w:val="32"/>
        </w:rPr>
        <w:t>新建和整修地明街、兴平北路、民安路等街路59条（次）</w:t>
      </w:r>
      <w:r>
        <w:rPr>
          <w:rFonts w:hint="eastAsia" w:ascii="仿宋_GB2312" w:hAnsi="宋体" w:eastAsia="仿宋_GB2312"/>
          <w:color w:val="000000"/>
          <w:sz w:val="32"/>
          <w:szCs w:val="32"/>
          <w:lang w:eastAsia="zh-CN"/>
        </w:rPr>
        <w:t>，主城区街路</w:t>
      </w:r>
      <w:r>
        <w:rPr>
          <w:rFonts w:hint="eastAsia" w:ascii="仿宋_GB2312" w:hAnsi="宋体" w:eastAsia="仿宋_GB2312"/>
          <w:color w:val="000000"/>
          <w:sz w:val="32"/>
          <w:szCs w:val="32"/>
          <w:lang w:val="en-US" w:eastAsia="zh-CN"/>
        </w:rPr>
        <w:t>100%实现翻建维修，</w:t>
      </w:r>
      <w:r>
        <w:rPr>
          <w:rFonts w:hint="eastAsia" w:ascii="仿宋_GB2312" w:hAnsi="宋体" w:eastAsia="仿宋_GB2312"/>
          <w:color w:val="000000"/>
          <w:sz w:val="32"/>
          <w:szCs w:val="32"/>
          <w:lang w:eastAsia="zh-CN"/>
        </w:rPr>
        <w:t>工贸企业物流运输和居民出行更加便利</w:t>
      </w:r>
      <w:r>
        <w:rPr>
          <w:rFonts w:hint="eastAsia" w:ascii="仿宋_GB2312" w:hAnsi="宋体" w:eastAsia="仿宋_GB2312"/>
          <w:color w:val="000000"/>
          <w:sz w:val="32"/>
          <w:szCs w:val="32"/>
        </w:rPr>
        <w:t>。新建和维修北山、青龙山等公园</w:t>
      </w:r>
      <w:r>
        <w:rPr>
          <w:rFonts w:hint="eastAsia" w:ascii="仿宋_GB2312" w:hAnsi="宋体" w:eastAsia="仿宋_GB2312"/>
          <w:color w:val="000000"/>
          <w:sz w:val="32"/>
          <w:szCs w:val="32"/>
          <w:lang w:eastAsia="zh-CN"/>
        </w:rPr>
        <w:t>和</w:t>
      </w:r>
      <w:r>
        <w:rPr>
          <w:rFonts w:hint="eastAsia" w:ascii="仿宋_GB2312" w:hAnsi="宋体" w:eastAsia="仿宋_GB2312"/>
          <w:color w:val="000000"/>
          <w:sz w:val="32"/>
          <w:szCs w:val="32"/>
        </w:rPr>
        <w:t>绿地37个（次）。高质量完成“三溪一河”改造。争取老工业基地基础设施改造资金6892万元，改造城市地下管网</w:t>
      </w:r>
      <w:r>
        <w:rPr>
          <w:rFonts w:hint="eastAsia" w:ascii="仿宋_GB2312" w:hAnsi="宋体" w:eastAsia="仿宋_GB2312"/>
          <w:color w:val="000000"/>
          <w:sz w:val="32"/>
          <w:szCs w:val="32"/>
          <w:lang w:val="en-US" w:eastAsia="zh-CN"/>
        </w:rPr>
        <w:t>16.2公里</w:t>
      </w:r>
      <w:r>
        <w:rPr>
          <w:rFonts w:hint="eastAsia" w:ascii="仿宋_GB2312" w:hAnsi="宋体" w:eastAsia="仿宋_GB2312"/>
          <w:color w:val="000000"/>
          <w:sz w:val="32"/>
          <w:szCs w:val="32"/>
          <w:lang w:eastAsia="zh-CN"/>
        </w:rPr>
        <w:t>，占市区总量的</w:t>
      </w:r>
      <w:r>
        <w:rPr>
          <w:rFonts w:hint="eastAsia" w:ascii="仿宋_GB2312" w:hAnsi="宋体" w:eastAsia="仿宋_GB2312"/>
          <w:color w:val="000000"/>
          <w:sz w:val="32"/>
          <w:szCs w:val="32"/>
          <w:lang w:val="en-US" w:eastAsia="zh-CN"/>
        </w:rPr>
        <w:t>30%以上，在四城区中，市政改造资金投入最多</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城市管理扎实有效。</w:t>
      </w:r>
      <w:r>
        <w:rPr>
          <w:rFonts w:hint="eastAsia" w:ascii="仿宋_GB2312" w:hAnsi="宋体" w:eastAsia="仿宋_GB2312"/>
          <w:color w:val="000000"/>
          <w:sz w:val="32"/>
          <w:szCs w:val="32"/>
          <w:lang w:eastAsia="zh-CN"/>
        </w:rPr>
        <w:t>承担了全市最难、工作量最大的创城任务，</w:t>
      </w:r>
      <w:r>
        <w:rPr>
          <w:rFonts w:hint="eastAsia" w:ascii="仿宋_GB2312" w:hAnsi="宋体" w:eastAsia="仿宋_GB2312"/>
          <w:color w:val="000000"/>
          <w:sz w:val="32"/>
          <w:szCs w:val="32"/>
        </w:rPr>
        <w:t>拆除违章建筑和配建棚厦1896处，清理整顿违规广告牌匾2000多块、大排档和露天市场1000多个。</w:t>
      </w:r>
      <w:r>
        <w:rPr>
          <w:rFonts w:hint="eastAsia" w:ascii="仿宋_GB2312" w:hAnsi="宋体" w:eastAsia="仿宋_GB2312"/>
          <w:color w:val="000000"/>
          <w:sz w:val="32"/>
          <w:szCs w:val="32"/>
          <w:lang w:eastAsia="zh-CN"/>
        </w:rPr>
        <w:t>人民群众的生产</w:t>
      </w:r>
      <w:r>
        <w:rPr>
          <w:rFonts w:hint="eastAsia" w:ascii="仿宋_GB2312" w:hAnsi="宋体" w:eastAsia="仿宋_GB2312"/>
          <w:color w:val="000000"/>
          <w:sz w:val="32"/>
          <w:szCs w:val="32"/>
        </w:rPr>
        <w:t>生活环境大幅改善</w:t>
      </w:r>
      <w:r>
        <w:rPr>
          <w:rFonts w:hint="eastAsia" w:ascii="仿宋_GB2312" w:hAnsi="宋体" w:eastAsia="仿宋_GB2312"/>
          <w:color w:val="000000"/>
          <w:sz w:val="32"/>
          <w:szCs w:val="32"/>
          <w:lang w:eastAsia="zh-CN"/>
        </w:rPr>
        <w:t>，爱民区城区面貌日新月异，发生了翻天覆地的变化。</w:t>
      </w:r>
    </w:p>
    <w:p w14:paraId="3C0355F8">
      <w:pPr>
        <w:keepNext w:val="0"/>
        <w:keepLines w:val="0"/>
        <w:pageBreakBefore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eastAsia="zh-CN"/>
        </w:rPr>
      </w:pPr>
      <w:r>
        <w:rPr>
          <w:rFonts w:hint="eastAsia" w:ascii="仿宋_GB2312" w:hAnsi="宋体" w:eastAsia="仿宋_GB2312"/>
          <w:b/>
          <w:bCs/>
          <w:color w:val="000000"/>
          <w:sz w:val="32"/>
          <w:szCs w:val="32"/>
          <w:lang w:eastAsia="zh-CN"/>
        </w:rPr>
        <w:t>乡村振兴全面实施。</w:t>
      </w:r>
      <w:r>
        <w:rPr>
          <w:rFonts w:hint="eastAsia" w:ascii="仿宋_GB2312" w:hAnsi="宋体" w:eastAsia="仿宋_GB2312"/>
          <w:color w:val="000000"/>
          <w:sz w:val="32"/>
          <w:szCs w:val="32"/>
          <w:lang w:val="en-US" w:eastAsia="zh-CN"/>
        </w:rPr>
        <w:t>农村面貌焕然一新。</w:t>
      </w:r>
      <w:r>
        <w:rPr>
          <w:rFonts w:hint="eastAsia" w:ascii="仿宋_GB2312" w:hAnsi="宋体" w:eastAsia="仿宋_GB2312"/>
          <w:b w:val="0"/>
          <w:bCs w:val="0"/>
          <w:color w:val="000000"/>
          <w:sz w:val="32"/>
          <w:szCs w:val="32"/>
          <w:lang w:eastAsia="zh-CN"/>
        </w:rPr>
        <w:t>加大农村基础设施建设。整修了丰收河、放牛河、八达河等河道沟渠，</w:t>
      </w:r>
      <w:r>
        <w:rPr>
          <w:rFonts w:hint="eastAsia" w:ascii="仿宋_GB2312" w:hAnsi="宋体" w:eastAsia="仿宋_GB2312"/>
          <w:color w:val="000000"/>
          <w:sz w:val="32"/>
          <w:szCs w:val="32"/>
          <w:lang w:val="en-US" w:eastAsia="zh-CN"/>
        </w:rPr>
        <w:t>改造农村危房74户。</w:t>
      </w:r>
      <w:r>
        <w:rPr>
          <w:rFonts w:hint="eastAsia" w:ascii="仿宋_GB2312" w:hAnsi="宋体" w:eastAsia="仿宋_GB2312"/>
          <w:color w:val="000000"/>
          <w:sz w:val="32"/>
          <w:szCs w:val="32"/>
        </w:rPr>
        <w:t>农村砖瓦化率、自来水入户率分别达到98%和91.7%。</w:t>
      </w:r>
      <w:r>
        <w:rPr>
          <w:rFonts w:hint="eastAsia" w:ascii="仿宋_GB2312" w:hAnsi="宋体" w:eastAsia="仿宋_GB2312"/>
          <w:color w:val="000000"/>
          <w:sz w:val="32"/>
          <w:szCs w:val="32"/>
          <w:lang w:val="en-US" w:eastAsia="zh-CN"/>
        </w:rPr>
        <w:t>农村人居环境整治三年行动圆满完成。开展了宅地一体确权登记，完成了行政村集体产权制度改革。农业特色产业加快发展，</w:t>
      </w:r>
      <w:r>
        <w:rPr>
          <w:rFonts w:hint="eastAsia" w:ascii="仿宋_GB2312" w:hAnsi="宋体" w:eastAsia="仿宋_GB2312"/>
          <w:color w:val="000000"/>
          <w:sz w:val="32"/>
          <w:szCs w:val="32"/>
          <w:lang w:eastAsia="zh-CN"/>
        </w:rPr>
        <w:t>逐步向现代化迈进。经济体量不断增大，</w:t>
      </w:r>
      <w:r>
        <w:rPr>
          <w:rFonts w:hint="eastAsia" w:ascii="仿宋_GB2312" w:hAnsi="宋体" w:eastAsia="仿宋_GB2312"/>
          <w:color w:val="000000"/>
          <w:sz w:val="32"/>
          <w:szCs w:val="32"/>
          <w:lang w:val="en-US" w:eastAsia="zh-CN"/>
        </w:rPr>
        <w:t>形成了种植、养殖、林下经济三个特色产业。农村集体经济不断发展壮大。</w:t>
      </w:r>
      <w:r>
        <w:rPr>
          <w:rFonts w:hint="eastAsia" w:ascii="仿宋_GB2312" w:hAnsi="宋体" w:eastAsia="仿宋_GB2312"/>
          <w:color w:val="000000"/>
          <w:sz w:val="32"/>
          <w:szCs w:val="32"/>
        </w:rPr>
        <w:t>全区农村经济总收入</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农民人均</w:t>
      </w:r>
      <w:r>
        <w:rPr>
          <w:rFonts w:hint="eastAsia" w:ascii="仿宋_GB2312" w:hAnsi="宋体" w:eastAsia="仿宋_GB2312"/>
          <w:color w:val="000000"/>
          <w:sz w:val="32"/>
          <w:szCs w:val="32"/>
          <w:lang w:eastAsia="zh-CN"/>
        </w:rPr>
        <w:t>可支配</w:t>
      </w:r>
      <w:r>
        <w:rPr>
          <w:rFonts w:hint="eastAsia" w:ascii="仿宋_GB2312" w:hAnsi="宋体" w:eastAsia="仿宋_GB2312"/>
          <w:color w:val="000000"/>
          <w:sz w:val="32"/>
          <w:szCs w:val="32"/>
        </w:rPr>
        <w:t>收入年均递增</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三道关镇被评为省级文明乡镇。</w:t>
      </w:r>
    </w:p>
    <w:p w14:paraId="551C2295">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val="en-US" w:eastAsia="zh-CN"/>
        </w:rPr>
      </w:pPr>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民生保障坚实有力。</w:t>
      </w:r>
      <w:r>
        <w:rPr>
          <w:rFonts w:hint="eastAsia" w:ascii="仿宋_GB2312" w:hAnsi="宋体" w:eastAsia="仿宋_GB2312"/>
          <w:color w:val="000000"/>
          <w:sz w:val="32"/>
          <w:szCs w:val="32"/>
        </w:rPr>
        <w:t>文教工作不断提升。</w:t>
      </w:r>
      <w:r>
        <w:rPr>
          <w:rFonts w:hint="eastAsia" w:ascii="仿宋_GB2312" w:hAnsi="宋体" w:eastAsia="仿宋_GB2312"/>
          <w:color w:val="000000"/>
          <w:sz w:val="32"/>
          <w:szCs w:val="32"/>
          <w:lang w:eastAsia="zh-CN"/>
        </w:rPr>
        <w:t>累计</w:t>
      </w:r>
      <w:r>
        <w:rPr>
          <w:rFonts w:hint="eastAsia" w:ascii="仿宋_GB2312" w:hAnsi="宋体" w:eastAsia="仿宋_GB2312"/>
          <w:color w:val="000000"/>
          <w:sz w:val="32"/>
          <w:szCs w:val="32"/>
        </w:rPr>
        <w:t>投入2038万元改善学校办学条件，在城区率先实现了全部区属学校“标准化”建设</w:t>
      </w:r>
      <w:r>
        <w:rPr>
          <w:rFonts w:hint="eastAsia" w:ascii="仿宋_GB2312" w:hAnsi="宋体" w:eastAsia="仿宋_GB2312"/>
          <w:color w:val="000000"/>
          <w:sz w:val="32"/>
          <w:szCs w:val="32"/>
          <w:lang w:eastAsia="zh-CN"/>
        </w:rPr>
        <w:t>，高质量通过国家义务教育均衡发展验收。新建了</w:t>
      </w:r>
      <w:r>
        <w:rPr>
          <w:rFonts w:hint="eastAsia" w:ascii="仿宋_GB2312" w:hAnsi="宋体" w:eastAsia="仿宋_GB2312"/>
          <w:color w:val="000000"/>
          <w:sz w:val="32"/>
          <w:szCs w:val="32"/>
        </w:rPr>
        <w:t>师范附小</w:t>
      </w:r>
      <w:r>
        <w:rPr>
          <w:rFonts w:hint="eastAsia" w:ascii="仿宋_GB2312" w:hAnsi="宋体" w:eastAsia="仿宋_GB2312"/>
          <w:color w:val="000000"/>
          <w:sz w:val="32"/>
          <w:szCs w:val="32"/>
          <w:lang w:eastAsia="zh-CN"/>
        </w:rPr>
        <w:t>和</w:t>
      </w:r>
      <w:r>
        <w:rPr>
          <w:rFonts w:hint="eastAsia" w:ascii="仿宋_GB2312" w:hAnsi="宋体" w:eastAsia="仿宋_GB2312"/>
          <w:color w:val="000000"/>
          <w:sz w:val="32"/>
          <w:szCs w:val="32"/>
        </w:rPr>
        <w:t>幼教中心</w:t>
      </w:r>
      <w:r>
        <w:rPr>
          <w:rFonts w:hint="eastAsia" w:ascii="仿宋_GB2312" w:hAnsi="宋体" w:eastAsia="仿宋_GB2312"/>
          <w:color w:val="000000"/>
          <w:sz w:val="32"/>
          <w:szCs w:val="32"/>
          <w:lang w:eastAsia="zh-CN"/>
        </w:rPr>
        <w:t>，新增民办普惠幼儿园</w:t>
      </w:r>
      <w:r>
        <w:rPr>
          <w:rFonts w:hint="eastAsia" w:ascii="仿宋_GB2312" w:hAnsi="宋体" w:eastAsia="仿宋_GB2312"/>
          <w:color w:val="000000"/>
          <w:sz w:val="32"/>
          <w:szCs w:val="32"/>
          <w:lang w:val="en-US" w:eastAsia="zh-CN"/>
        </w:rPr>
        <w:t>12所，全市最多。学前教育三年毛入园率、普惠率分别达到86.3%和93.3%，高于全市平均水平。</w:t>
      </w:r>
      <w:r>
        <w:rPr>
          <w:rFonts w:hint="eastAsia" w:ascii="仿宋_GB2312" w:hAnsi="宋体" w:eastAsia="仿宋_GB2312"/>
          <w:color w:val="000000"/>
          <w:sz w:val="32"/>
          <w:szCs w:val="32"/>
        </w:rPr>
        <w:t>新建了</w:t>
      </w:r>
      <w:r>
        <w:rPr>
          <w:rFonts w:hint="eastAsia" w:ascii="仿宋_GB2312" w:hAnsi="宋体" w:eastAsia="仿宋_GB2312"/>
          <w:color w:val="000000"/>
          <w:sz w:val="32"/>
          <w:szCs w:val="32"/>
          <w:lang w:eastAsia="zh-CN"/>
        </w:rPr>
        <w:t>区</w:t>
      </w:r>
      <w:r>
        <w:rPr>
          <w:rFonts w:hint="eastAsia" w:ascii="仿宋_GB2312" w:hAnsi="宋体" w:eastAsia="仿宋_GB2312"/>
          <w:color w:val="000000"/>
          <w:sz w:val="32"/>
          <w:szCs w:val="32"/>
        </w:rPr>
        <w:t>文化馆、图书馆。公共文化服务体系创建顺利通过国家验收。成功举办北山庙会、双龙花展、婚庆艺术节、文化活动月、元宵节秧歌展演等多项活动，集聚了桥北人气。</w:t>
      </w:r>
      <w:r>
        <w:rPr>
          <w:rFonts w:hint="eastAsia" w:ascii="仿宋_GB2312" w:hAnsi="宋体" w:eastAsia="仿宋_GB2312"/>
          <w:color w:val="000000"/>
          <w:sz w:val="32"/>
          <w:szCs w:val="32"/>
          <w:lang w:eastAsia="zh-CN"/>
        </w:rPr>
        <w:t>医疗健康水平全面提升。</w:t>
      </w:r>
      <w:r>
        <w:rPr>
          <w:rFonts w:hint="eastAsia" w:ascii="仿宋_GB2312" w:hAnsi="宋体" w:eastAsia="仿宋_GB2312"/>
          <w:color w:val="000000"/>
          <w:sz w:val="32"/>
          <w:szCs w:val="32"/>
        </w:rPr>
        <w:t>全面实施了国家基本药物制度</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新建北安卫生院</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新农合人均筹资标准提高104%，</w:t>
      </w:r>
      <w:r>
        <w:rPr>
          <w:rFonts w:hint="eastAsia" w:ascii="仿宋_GB2312" w:hAnsi="宋体" w:eastAsia="仿宋_GB2312"/>
          <w:color w:val="000000"/>
          <w:sz w:val="32"/>
          <w:szCs w:val="32"/>
          <w:lang w:eastAsia="zh-CN"/>
        </w:rPr>
        <w:t>医疗健康</w:t>
      </w:r>
      <w:r>
        <w:rPr>
          <w:rFonts w:hint="eastAsia" w:ascii="仿宋_GB2312" w:hAnsi="宋体" w:eastAsia="仿宋_GB2312"/>
          <w:color w:val="000000"/>
          <w:sz w:val="32"/>
          <w:szCs w:val="32"/>
        </w:rPr>
        <w:t>惠民政策得到有效落实。</w:t>
      </w:r>
      <w:r>
        <w:rPr>
          <w:rFonts w:hint="eastAsia" w:ascii="仿宋_GB2312" w:hAnsi="宋体" w:eastAsia="仿宋_GB2312"/>
          <w:color w:val="000000"/>
          <w:sz w:val="32"/>
          <w:szCs w:val="32"/>
          <w:lang w:val="en-US" w:eastAsia="zh-CN"/>
        </w:rPr>
        <w:t>100%</w:t>
      </w:r>
      <w:r>
        <w:rPr>
          <w:rFonts w:hint="eastAsia" w:ascii="仿宋_GB2312" w:hAnsi="宋体" w:eastAsia="仿宋_GB2312"/>
          <w:color w:val="000000"/>
          <w:sz w:val="32"/>
          <w:szCs w:val="32"/>
        </w:rPr>
        <w:t>兑现城镇独生子女父母奖励</w:t>
      </w:r>
      <w:r>
        <w:rPr>
          <w:rFonts w:hint="eastAsia" w:ascii="仿宋_GB2312" w:hAnsi="宋体" w:eastAsia="仿宋_GB2312"/>
          <w:color w:val="000000"/>
          <w:sz w:val="32"/>
          <w:szCs w:val="32"/>
          <w:lang w:eastAsia="zh-CN"/>
        </w:rPr>
        <w:t>等</w:t>
      </w:r>
      <w:r>
        <w:rPr>
          <w:rFonts w:hint="eastAsia" w:ascii="仿宋_GB2312" w:hAnsi="宋体" w:eastAsia="仿宋_GB2312"/>
          <w:color w:val="000000"/>
          <w:sz w:val="32"/>
          <w:szCs w:val="32"/>
        </w:rPr>
        <w:t>各类奖扶资金。民政工作再上新台阶。严格实施城乡低保动态管理，</w:t>
      </w:r>
      <w:r>
        <w:rPr>
          <w:rFonts w:hint="eastAsia" w:ascii="仿宋_GB2312" w:hAnsi="宋体" w:eastAsia="仿宋_GB2312"/>
          <w:color w:val="000000"/>
          <w:sz w:val="32"/>
          <w:szCs w:val="32"/>
          <w:lang w:eastAsia="zh-CN"/>
        </w:rPr>
        <w:t>建立了社会救助联席会议制度和街道、镇临时救助备用金制度，加强了低保规范管理和专项整治，实现了“六精准”目标。全区民办养老机构达到</w:t>
      </w:r>
      <w:r>
        <w:rPr>
          <w:rFonts w:hint="eastAsia" w:ascii="仿宋_GB2312" w:hAnsi="宋体" w:eastAsia="仿宋_GB2312"/>
          <w:color w:val="000000"/>
          <w:sz w:val="32"/>
          <w:szCs w:val="32"/>
          <w:lang w:val="en-US" w:eastAsia="zh-CN"/>
        </w:rPr>
        <w:t>21家，全市最多。劳动就业进一步强化。</w:t>
      </w:r>
      <w:r>
        <w:rPr>
          <w:rFonts w:hint="eastAsia" w:ascii="仿宋_GB2312" w:hAnsi="宋体" w:eastAsia="仿宋_GB2312"/>
          <w:color w:val="000000"/>
          <w:sz w:val="32"/>
          <w:szCs w:val="32"/>
        </w:rPr>
        <w:t>累计城镇新增就业</w:t>
      </w:r>
      <w:r>
        <w:rPr>
          <w:rFonts w:hint="eastAsia" w:ascii="仿宋_GB2312" w:hAnsi="宋体" w:eastAsia="仿宋_GB2312"/>
          <w:color w:val="000000"/>
          <w:sz w:val="32"/>
          <w:szCs w:val="32"/>
          <w:lang w:val="en-US" w:eastAsia="zh-CN"/>
        </w:rPr>
        <w:t>36725</w:t>
      </w:r>
      <w:r>
        <w:rPr>
          <w:rFonts w:hint="eastAsia" w:ascii="仿宋_GB2312" w:hAnsi="宋体" w:eastAsia="仿宋_GB2312"/>
          <w:color w:val="000000"/>
          <w:sz w:val="32"/>
          <w:szCs w:val="32"/>
        </w:rPr>
        <w:t>人，开发公益性岗位</w:t>
      </w:r>
      <w:r>
        <w:rPr>
          <w:rFonts w:hint="eastAsia" w:ascii="仿宋_GB2312" w:hAnsi="宋体" w:eastAsia="仿宋_GB2312"/>
          <w:color w:val="000000"/>
          <w:sz w:val="32"/>
          <w:szCs w:val="32"/>
          <w:lang w:val="en-US" w:eastAsia="zh-CN"/>
        </w:rPr>
        <w:t>280</w:t>
      </w:r>
      <w:r>
        <w:rPr>
          <w:rFonts w:hint="eastAsia" w:ascii="仿宋_GB2312" w:hAnsi="宋体" w:eastAsia="仿宋_GB2312"/>
          <w:color w:val="000000"/>
          <w:sz w:val="32"/>
          <w:szCs w:val="32"/>
        </w:rPr>
        <w:t>个，下岗失业人员再就业</w:t>
      </w:r>
      <w:r>
        <w:rPr>
          <w:rFonts w:hint="eastAsia" w:ascii="仿宋_GB2312" w:hAnsi="宋体" w:eastAsia="仿宋_GB2312"/>
          <w:color w:val="000000"/>
          <w:sz w:val="32"/>
          <w:szCs w:val="32"/>
          <w:lang w:val="en-US" w:eastAsia="zh-CN"/>
        </w:rPr>
        <w:t>26647</w:t>
      </w:r>
      <w:r>
        <w:rPr>
          <w:rFonts w:hint="eastAsia" w:ascii="仿宋_GB2312" w:hAnsi="宋体" w:eastAsia="仿宋_GB2312"/>
          <w:color w:val="000000"/>
          <w:sz w:val="32"/>
          <w:szCs w:val="32"/>
        </w:rPr>
        <w:t>人，为再就业人员发放社保补贴</w:t>
      </w:r>
      <w:r>
        <w:rPr>
          <w:rFonts w:hint="eastAsia" w:ascii="仿宋_GB2312" w:hAnsi="宋体" w:eastAsia="仿宋_GB2312"/>
          <w:color w:val="000000"/>
          <w:sz w:val="32"/>
          <w:szCs w:val="32"/>
          <w:lang w:val="en-US" w:eastAsia="zh-CN"/>
        </w:rPr>
        <w:t>9674</w:t>
      </w:r>
      <w:r>
        <w:rPr>
          <w:rFonts w:hint="eastAsia" w:ascii="仿宋_GB2312" w:hAnsi="宋体" w:eastAsia="仿宋_GB2312"/>
          <w:color w:val="000000"/>
          <w:sz w:val="32"/>
          <w:szCs w:val="32"/>
        </w:rPr>
        <w:t>万元</w:t>
      </w:r>
      <w:r>
        <w:rPr>
          <w:rFonts w:hint="eastAsia" w:ascii="仿宋_GB2312" w:hAnsi="宋体" w:eastAsia="仿宋_GB2312"/>
          <w:color w:val="000000"/>
          <w:sz w:val="32"/>
          <w:szCs w:val="32"/>
          <w:lang w:eastAsia="zh-CN"/>
        </w:rPr>
        <w:t>，超额完成“十三五”既定目标</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48个退役军人服务站在全市率先投入运转。</w:t>
      </w:r>
    </w:p>
    <w:p w14:paraId="53F76A2D">
      <w:pPr>
        <w:keepNext w:val="0"/>
        <w:keepLines w:val="0"/>
        <w:pageBreakBefore w:val="0"/>
        <w:kinsoku/>
        <w:wordWrap/>
        <w:overflowPunct/>
        <w:topLinePunct w:val="0"/>
        <w:autoSpaceDE/>
        <w:autoSpaceDN/>
        <w:bidi w:val="0"/>
        <w:adjustRightInd/>
        <w:snapToGrid/>
        <w:spacing w:line="240" w:lineRule="auto"/>
        <w:ind w:left="0" w:leftChars="0" w:firstLine="643"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仿宋_GB2312" w:hAnsi="宋体" w:eastAsia="仿宋_GB2312"/>
          <w:b/>
          <w:bCs/>
          <w:color w:val="000000"/>
          <w:sz w:val="32"/>
          <w:szCs w:val="32"/>
          <w:lang w:eastAsia="zh-CN"/>
        </w:rPr>
        <w:t>改革创新不断深化。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供给侧结构性改革持续深化。</w:t>
      </w:r>
      <w:r>
        <w:rPr>
          <w:rFonts w:ascii="Times New Roman" w:hAnsi="Times New Roman" w:eastAsia="仿宋_GB2312" w:cs="Times New Roman"/>
          <w:color w:val="000000" w:themeColor="text1"/>
          <w:sz w:val="32"/>
          <w:szCs w:val="32"/>
          <w14:textFill>
            <w14:solidFill>
              <w14:schemeClr w14:val="tx1"/>
            </w14:solidFill>
          </w14:textFill>
        </w:rPr>
        <w:t>完成政府机构改革和承担行政职能事业单位改革</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“放管服”改革深入推进，营商环境显著改善，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坚决落实“四零承诺”，实现了</w:t>
      </w:r>
      <w:r>
        <w:rPr>
          <w:rFonts w:ascii="Times New Roman" w:hAnsi="Times New Roman" w:eastAsia="仿宋_GB2312" w:cs="Times New Roman"/>
          <w:color w:val="000000" w:themeColor="text1"/>
          <w:sz w:val="32"/>
          <w:szCs w:val="32"/>
          <w14:textFill>
            <w14:solidFill>
              <w14:schemeClr w14:val="tx1"/>
            </w14:solidFill>
          </w14:textFill>
        </w:rPr>
        <w:t>审批服务“办事不求人”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，“一网通办”率达到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90%以上。全面完成了农村土地确权登记和农村</w:t>
      </w:r>
      <w:r>
        <w:rPr>
          <w:rFonts w:ascii="Times New Roman" w:hAnsi="Times New Roman" w:eastAsia="仿宋_GB2312" w:cs="Times New Roman"/>
          <w:color w:val="000000" w:themeColor="text1"/>
          <w:sz w:val="32"/>
          <w:szCs w:val="32"/>
          <w14:textFill>
            <w14:solidFill>
              <w14:schemeClr w14:val="tx1"/>
            </w14:solidFill>
          </w14:textFill>
        </w:rPr>
        <w:t>集体产权制度改革。</w:t>
      </w:r>
      <w:r>
        <w:rPr>
          <w:rFonts w:hint="eastAsia" w:ascii="仿宋_GB2312" w:hAnsi="宋体" w:eastAsia="仿宋_GB2312"/>
          <w:color w:val="000000"/>
          <w:sz w:val="32"/>
          <w:szCs w:val="32"/>
        </w:rPr>
        <w:t>科技创新</w:t>
      </w:r>
      <w:r>
        <w:rPr>
          <w:rFonts w:hint="eastAsia" w:ascii="仿宋_GB2312" w:hAnsi="宋体" w:eastAsia="仿宋_GB2312"/>
          <w:color w:val="000000"/>
          <w:sz w:val="32"/>
          <w:szCs w:val="32"/>
          <w:lang w:eastAsia="zh-CN"/>
        </w:rPr>
        <w:t>能力</w:t>
      </w:r>
      <w:r>
        <w:rPr>
          <w:rFonts w:hint="eastAsia" w:ascii="仿宋_GB2312" w:hAnsi="宋体" w:eastAsia="仿宋_GB2312"/>
          <w:color w:val="000000"/>
          <w:sz w:val="32"/>
          <w:szCs w:val="32"/>
        </w:rPr>
        <w:t>不断提升</w:t>
      </w:r>
      <w:r>
        <w:rPr>
          <w:rFonts w:hint="eastAsia" w:ascii="仿宋_GB2312" w:hAnsi="宋体" w:eastAsia="仿宋_GB2312"/>
          <w:color w:val="000000"/>
          <w:sz w:val="32"/>
          <w:szCs w:val="32"/>
          <w:lang w:eastAsia="zh-CN"/>
        </w:rPr>
        <w:t>。建立了全市唯一一个大学生创新创业联盟，“双创”工作稳居全市之首。</w:t>
      </w:r>
      <w:r>
        <w:rPr>
          <w:rFonts w:hint="eastAsia" w:ascii="仿宋_GB2312" w:hAnsi="宋体" w:eastAsia="仿宋_GB2312"/>
          <w:color w:val="000000"/>
          <w:sz w:val="32"/>
          <w:szCs w:val="32"/>
        </w:rPr>
        <w:t>国家级高新技术企业达到</w:t>
      </w:r>
      <w:r>
        <w:rPr>
          <w:rFonts w:hint="eastAsia" w:ascii="仿宋_GB2312" w:hAnsi="宋体" w:eastAsia="仿宋_GB2312"/>
          <w:color w:val="000000"/>
          <w:sz w:val="32"/>
          <w:szCs w:val="32"/>
          <w:lang w:val="en-US" w:eastAsia="zh-CN"/>
        </w:rPr>
        <w:t>15</w:t>
      </w:r>
      <w:r>
        <w:rPr>
          <w:rFonts w:hint="eastAsia" w:ascii="仿宋_GB2312" w:hAnsi="宋体" w:eastAsia="仿宋_GB2312"/>
          <w:color w:val="000000"/>
          <w:sz w:val="32"/>
          <w:szCs w:val="32"/>
        </w:rPr>
        <w:t>户</w:t>
      </w:r>
      <w:r>
        <w:rPr>
          <w:rFonts w:hint="eastAsia" w:ascii="仿宋_GB2312" w:hAnsi="宋体" w:eastAsia="仿宋_GB2312"/>
          <w:color w:val="000000"/>
          <w:sz w:val="32"/>
          <w:szCs w:val="32"/>
          <w:lang w:eastAsia="zh-CN"/>
        </w:rPr>
        <w:t>，连续四年位居全市第一</w:t>
      </w:r>
      <w:r>
        <w:rPr>
          <w:rFonts w:hint="eastAsia" w:ascii="仿宋_GB2312" w:hAnsi="宋体" w:eastAsia="仿宋_GB2312"/>
          <w:color w:val="000000"/>
          <w:sz w:val="32"/>
          <w:szCs w:val="32"/>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科技型中小企业达到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22户，</w:t>
      </w:r>
      <w:r>
        <w:rPr>
          <w:rFonts w:ascii="Times New Roman" w:hAnsi="Times New Roman" w:eastAsia="仿宋_GB2312" w:cs="Times New Roman"/>
          <w:color w:val="000000" w:themeColor="text1"/>
          <w:sz w:val="32"/>
          <w:szCs w:val="32"/>
          <w14:textFill>
            <w14:solidFill>
              <w14:schemeClr w14:val="tx1"/>
            </w14:solidFill>
          </w14:textFill>
        </w:rPr>
        <w:t>科技企业孵化器、众创空间实现“双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十</w:t>
      </w:r>
      <w:r>
        <w:rPr>
          <w:rFonts w:ascii="Times New Roman" w:hAnsi="Times New Roman" w:eastAsia="仿宋_GB2312" w:cs="Times New Roman"/>
          <w:color w:val="000000" w:themeColor="text1"/>
          <w:sz w:val="32"/>
          <w:szCs w:val="32"/>
          <w14:textFill>
            <w14:solidFill>
              <w14:schemeClr w14:val="tx1"/>
            </w14:solidFill>
          </w14:textFill>
        </w:rPr>
        <w:t>”目标</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，户数为全市最多</w:t>
      </w:r>
      <w:r>
        <w:rPr>
          <w:rFonts w:ascii="Times New Roman" w:hAnsi="Times New Roman" w:eastAsia="仿宋_GB2312" w:cs="Times New Roman"/>
          <w:color w:val="000000" w:themeColor="text1"/>
          <w:sz w:val="32"/>
          <w:szCs w:val="32"/>
          <w14:textFill>
            <w14:solidFill>
              <w14:schemeClr w14:val="tx1"/>
            </w14:solidFill>
          </w14:textFill>
        </w:rPr>
        <w:t>。</w:t>
      </w:r>
    </w:p>
    <w:p w14:paraId="18D78B86">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仿宋_GB2312" w:hAnsi="宋体" w:eastAsia="仿宋_GB2312"/>
          <w:b/>
          <w:bCs/>
          <w:color w:val="000000"/>
          <w:sz w:val="32"/>
          <w:szCs w:val="32"/>
          <w:lang w:eastAsia="zh-CN"/>
        </w:rPr>
        <w:t>“三大攻坚战”成效显著。</w:t>
      </w:r>
      <w:r>
        <w:rPr>
          <w:rFonts w:hint="eastAsia" w:ascii="Times New Roman" w:hAnsi="Times New Roman" w:eastAsia="仿宋_GB2312" w:cs="Times New Roman"/>
          <w:color w:val="auto"/>
          <w:sz w:val="32"/>
          <w:szCs w:val="32"/>
          <w:lang w:val="en-US" w:eastAsia="zh-CN"/>
        </w:rPr>
        <w:t>脱贫攻坚取得决定性胜利。贫困人口提前两年实现脱贫。全面落实“两不愁三保障”各项措施</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u w:val="none"/>
          <w:lang w:val="en-US" w:eastAsia="zh-CN"/>
        </w:rPr>
        <w:t>产业扶贫</w:t>
      </w:r>
      <w:r>
        <w:rPr>
          <w:rFonts w:hint="eastAsia" w:ascii="Times New Roman" w:hAnsi="Times New Roman" w:eastAsia="仿宋_GB2312" w:cs="Times New Roman"/>
          <w:color w:val="auto"/>
          <w:sz w:val="32"/>
          <w:szCs w:val="32"/>
          <w:lang w:val="en-US" w:eastAsia="zh-CN"/>
        </w:rPr>
        <w:t>项目带动贫困户人均</w:t>
      </w:r>
      <w:r>
        <w:rPr>
          <w:rFonts w:hint="eastAsia" w:ascii="Times New Roman" w:hAnsi="Times New Roman" w:eastAsia="仿宋_GB2312" w:cs="Times New Roman"/>
          <w:color w:val="auto"/>
          <w:sz w:val="32"/>
          <w:szCs w:val="32"/>
          <w:u w:val="none"/>
          <w:lang w:val="en-US" w:eastAsia="zh-CN"/>
        </w:rPr>
        <w:t>纯</w:t>
      </w:r>
      <w:r>
        <w:rPr>
          <w:rFonts w:hint="eastAsia" w:ascii="Times New Roman" w:hAnsi="Times New Roman" w:eastAsia="仿宋_GB2312" w:cs="Times New Roman"/>
          <w:color w:val="auto"/>
          <w:sz w:val="32"/>
          <w:szCs w:val="32"/>
          <w:lang w:val="en-US" w:eastAsia="zh-CN"/>
        </w:rPr>
        <w:t>收入达到14728元，为国家脱贫标准线3倍以上。</w:t>
      </w:r>
      <w:r>
        <w:rPr>
          <w:rFonts w:hint="default" w:ascii="Times New Roman" w:hAnsi="Times New Roman" w:eastAsia="仿宋_GB2312" w:cs="Times New Roman"/>
          <w:color w:val="auto"/>
          <w:sz w:val="32"/>
          <w:szCs w:val="32"/>
          <w:u w:val="none"/>
        </w:rPr>
        <w:t>加大污染防治力度，</w:t>
      </w:r>
      <w:r>
        <w:rPr>
          <w:rFonts w:hint="eastAsia" w:ascii="Times New Roman" w:hAnsi="Times New Roman" w:eastAsia="仿宋_GB2312" w:cs="Times New Roman"/>
          <w:color w:val="auto"/>
          <w:sz w:val="32"/>
          <w:szCs w:val="32"/>
          <w:u w:val="none"/>
          <w:lang w:eastAsia="zh-CN"/>
        </w:rPr>
        <w:t>生态环境治理取得明显成效。</w:t>
      </w:r>
      <w:r>
        <w:rPr>
          <w:rFonts w:ascii="Times New Roman" w:hAnsi="Times New Roman" w:eastAsia="仿宋_GB2312" w:cs="Times New Roman"/>
          <w:color w:val="000000" w:themeColor="text1"/>
          <w:sz w:val="32"/>
          <w:szCs w:val="32"/>
          <w:highlight w:val="none"/>
          <w14:textFill>
            <w14:solidFill>
              <w14:schemeClr w14:val="tx1"/>
            </w14:solidFill>
          </w14:textFill>
        </w:rPr>
        <w:t>万元GDP</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综合</w:t>
      </w:r>
      <w:r>
        <w:rPr>
          <w:rFonts w:ascii="Times New Roman" w:hAnsi="Times New Roman" w:eastAsia="仿宋_GB2312" w:cs="Times New Roman"/>
          <w:color w:val="000000" w:themeColor="text1"/>
          <w:sz w:val="32"/>
          <w:szCs w:val="32"/>
          <w:highlight w:val="none"/>
          <w14:textFill>
            <w14:solidFill>
              <w14:schemeClr w14:val="tx1"/>
            </w14:solidFill>
          </w14:textFill>
        </w:rPr>
        <w:t>能耗</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、主要污染物排放全部达标，农用水源地水质达标率</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100%，空气质量优良天数占比保持在90%以上。</w:t>
      </w:r>
      <w:r>
        <w:rPr>
          <w:rFonts w:hint="eastAsia" w:ascii="Times New Roman" w:hAnsi="Times New Roman" w:eastAsia="仿宋_GB2312" w:cs="Times New Roman"/>
          <w:color w:val="auto"/>
          <w:sz w:val="32"/>
          <w:szCs w:val="32"/>
          <w:u w:val="none"/>
          <w:lang w:val="en-US" w:eastAsia="zh-CN"/>
        </w:rPr>
        <w:t>高质量完成</w:t>
      </w:r>
      <w:r>
        <w:rPr>
          <w:rFonts w:hint="default" w:ascii="Times New Roman" w:hAnsi="Times New Roman" w:eastAsia="仿宋_GB2312" w:cs="Times New Roman"/>
          <w:color w:val="auto"/>
          <w:sz w:val="32"/>
          <w:szCs w:val="32"/>
          <w:u w:val="none"/>
        </w:rPr>
        <w:t>全国第二次污染源普查，中央环保督察“回头看”</w:t>
      </w:r>
      <w:r>
        <w:rPr>
          <w:rFonts w:hint="eastAsia" w:ascii="Times New Roman" w:hAnsi="Times New Roman" w:eastAsia="仿宋_GB2312" w:cs="Times New Roman"/>
          <w:color w:val="auto"/>
          <w:sz w:val="32"/>
          <w:szCs w:val="32"/>
          <w:u w:val="none"/>
          <w:lang w:val="en-US" w:eastAsia="zh-CN"/>
        </w:rPr>
        <w:t>9个问题全部完成整改。整顿环境污染单位59个，全面</w:t>
      </w:r>
      <w:r>
        <w:rPr>
          <w:rFonts w:hint="eastAsia" w:ascii="仿宋_GB2312" w:hAnsi="宋体" w:eastAsia="仿宋_GB2312"/>
          <w:color w:val="000000"/>
          <w:sz w:val="32"/>
          <w:szCs w:val="32"/>
        </w:rPr>
        <w:t>取缔</w:t>
      </w:r>
      <w:r>
        <w:rPr>
          <w:rFonts w:hint="eastAsia" w:ascii="仿宋_GB2312" w:hAnsi="宋体" w:eastAsia="仿宋_GB2312"/>
          <w:color w:val="000000"/>
          <w:sz w:val="32"/>
          <w:szCs w:val="32"/>
          <w:lang w:val="en-US" w:eastAsia="zh-CN"/>
        </w:rPr>
        <w:t>10蒸吨以下燃煤</w:t>
      </w:r>
      <w:r>
        <w:rPr>
          <w:rFonts w:hint="eastAsia" w:ascii="仿宋_GB2312" w:hAnsi="宋体" w:eastAsia="仿宋_GB2312"/>
          <w:color w:val="000000"/>
          <w:sz w:val="32"/>
          <w:szCs w:val="32"/>
        </w:rPr>
        <w:t>锅炉</w:t>
      </w:r>
      <w:r>
        <w:rPr>
          <w:rFonts w:hint="eastAsia" w:ascii="仿宋_GB2312" w:hAnsi="宋体" w:eastAsia="仿宋_GB2312"/>
          <w:color w:val="000000"/>
          <w:sz w:val="32"/>
          <w:szCs w:val="32"/>
          <w:lang w:val="en-US" w:eastAsia="zh-CN"/>
        </w:rPr>
        <w:t>151台，</w:t>
      </w:r>
      <w:r>
        <w:rPr>
          <w:rFonts w:hint="default" w:ascii="Times New Roman" w:hAnsi="Times New Roman" w:eastAsia="仿宋_GB2312" w:cs="Times New Roman"/>
          <w:color w:val="auto"/>
          <w:sz w:val="32"/>
          <w:szCs w:val="32"/>
          <w:u w:val="none"/>
        </w:rPr>
        <w:t>秸秆</w:t>
      </w:r>
      <w:r>
        <w:rPr>
          <w:rFonts w:hint="eastAsia" w:ascii="Times New Roman" w:hAnsi="Times New Roman" w:eastAsia="仿宋_GB2312" w:cs="Times New Roman"/>
          <w:color w:val="auto"/>
          <w:sz w:val="32"/>
          <w:szCs w:val="32"/>
          <w:u w:val="none"/>
          <w:lang w:eastAsia="zh-CN"/>
        </w:rPr>
        <w:t>禁烧实现“零火点”，</w:t>
      </w:r>
      <w:r>
        <w:rPr>
          <w:rFonts w:hint="default" w:ascii="Times New Roman" w:hAnsi="Times New Roman" w:eastAsia="仿宋_GB2312" w:cs="Times New Roman"/>
          <w:color w:val="auto"/>
          <w:sz w:val="32"/>
          <w:szCs w:val="32"/>
          <w:u w:val="none"/>
        </w:rPr>
        <w:t>综合利用率达到</w:t>
      </w:r>
      <w:r>
        <w:rPr>
          <w:rFonts w:hint="eastAsia" w:ascii="Times New Roman" w:hAnsi="Times New Roman" w:eastAsia="仿宋_GB2312" w:cs="Times New Roman"/>
          <w:color w:val="auto"/>
          <w:sz w:val="32"/>
          <w:szCs w:val="32"/>
          <w:u w:val="none"/>
          <w:lang w:val="en-US" w:eastAsia="zh-CN"/>
        </w:rPr>
        <w:t>90</w:t>
      </w:r>
      <w:r>
        <w:rPr>
          <w:rFonts w:hint="default" w:ascii="Times New Roman" w:hAnsi="Times New Roman" w:eastAsia="仿宋_GB2312" w:cs="Times New Roman"/>
          <w:color w:val="auto"/>
          <w:sz w:val="32"/>
          <w:szCs w:val="32"/>
          <w:u w:val="none"/>
        </w:rPr>
        <w:t>%。落实</w:t>
      </w:r>
      <w:r>
        <w:rPr>
          <w:rFonts w:hint="eastAsia" w:ascii="Times New Roman" w:hAnsi="Times New Roman" w:eastAsia="仿宋_GB2312" w:cs="Times New Roman"/>
          <w:color w:val="auto"/>
          <w:sz w:val="32"/>
          <w:szCs w:val="32"/>
          <w:u w:val="none"/>
          <w:lang w:val="en-US" w:eastAsia="zh-CN"/>
        </w:rPr>
        <w:t>落靠</w:t>
      </w:r>
      <w:r>
        <w:rPr>
          <w:rFonts w:hint="default" w:ascii="Times New Roman" w:hAnsi="Times New Roman" w:eastAsia="仿宋_GB2312" w:cs="Times New Roman"/>
          <w:color w:val="auto"/>
          <w:sz w:val="32"/>
          <w:szCs w:val="32"/>
          <w:u w:val="none"/>
        </w:rPr>
        <w:t>河长工作责任</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开展河湖“清四乱”百日攻坚战，在重点河段及路口布设监控34个</w:t>
      </w:r>
      <w:r>
        <w:rPr>
          <w:rFonts w:hint="eastAsia" w:ascii="Times New Roman" w:hAnsi="Times New Roman" w:eastAsia="仿宋_GB2312" w:cs="Times New Roman"/>
          <w:color w:val="auto"/>
          <w:sz w:val="32"/>
          <w:szCs w:val="32"/>
          <w:u w:val="none"/>
          <w:lang w:eastAsia="zh-CN"/>
        </w:rPr>
        <w:t>，“三溪一河”水体明显改善。</w:t>
      </w:r>
      <w:r>
        <w:rPr>
          <w:rFonts w:hint="eastAsia" w:ascii="Times New Roman" w:hAnsi="Times New Roman" w:eastAsia="仿宋_GB2312" w:cs="Times New Roman"/>
          <w:color w:val="auto"/>
          <w:sz w:val="32"/>
          <w:szCs w:val="32"/>
          <w:u w:val="none"/>
          <w:lang w:val="en-US" w:eastAsia="zh-CN"/>
        </w:rPr>
        <w:t>强力推进</w:t>
      </w:r>
      <w:r>
        <w:rPr>
          <w:rFonts w:hint="default" w:ascii="Times New Roman" w:hAnsi="Times New Roman" w:eastAsia="仿宋_GB2312" w:cs="Times New Roman"/>
          <w:color w:val="auto"/>
          <w:sz w:val="32"/>
          <w:szCs w:val="32"/>
        </w:rPr>
        <w:t>“大棚房”</w:t>
      </w:r>
      <w:r>
        <w:rPr>
          <w:rFonts w:hint="eastAsia" w:ascii="Times New Roman" w:hAnsi="Times New Roman" w:eastAsia="仿宋_GB2312" w:cs="Times New Roman"/>
          <w:color w:val="auto"/>
          <w:sz w:val="32"/>
          <w:szCs w:val="32"/>
          <w:lang w:val="en-US" w:eastAsia="zh-CN"/>
        </w:rPr>
        <w:t>问题整改</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u w:val="none"/>
        </w:rPr>
        <w:t>违建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清</w:t>
      </w:r>
      <w:r>
        <w:rPr>
          <w:rFonts w:hint="eastAsia" w:ascii="Times New Roman" w:hAnsi="Times New Roman" w:eastAsia="仿宋_GB2312" w:cs="Times New Roman"/>
          <w:color w:val="auto"/>
          <w:sz w:val="32"/>
          <w:szCs w:val="32"/>
          <w:u w:val="none"/>
          <w:lang w:val="en-US" w:eastAsia="zh-CN"/>
        </w:rPr>
        <w:t>底行动</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rPr>
        <w:t>，排查比对图斑562个，整改违建别墅</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处</w:t>
      </w:r>
      <w:r>
        <w:rPr>
          <w:rFonts w:hint="eastAsia" w:ascii="Times New Roman" w:hAnsi="Times New Roman" w:eastAsia="仿宋_GB2312" w:cs="Times New Roman"/>
          <w:color w:val="auto"/>
          <w:sz w:val="32"/>
          <w:szCs w:val="32"/>
          <w:lang w:val="en-US" w:eastAsia="zh-CN"/>
        </w:rPr>
        <w:t>13</w:t>
      </w:r>
      <w:r>
        <w:rPr>
          <w:rFonts w:hint="default" w:ascii="Times New Roman" w:hAnsi="Times New Roman" w:eastAsia="仿宋_GB2312" w:cs="Times New Roman"/>
          <w:color w:val="auto"/>
          <w:sz w:val="32"/>
          <w:szCs w:val="32"/>
        </w:rPr>
        <w:t>栋。</w:t>
      </w:r>
      <w:r>
        <w:rPr>
          <w:rFonts w:hint="eastAsia" w:ascii="Times New Roman" w:hAnsi="Times New Roman" w:eastAsia="仿宋_GB2312" w:cs="Times New Roman"/>
          <w:color w:val="auto"/>
          <w:sz w:val="32"/>
          <w:szCs w:val="32"/>
          <w:lang w:val="en-US" w:eastAsia="zh-CN"/>
        </w:rPr>
        <w:t>防范化解重大风险，财政收入目标基本稳住。全力兜住“三保”底线</w:t>
      </w:r>
      <w:r>
        <w:rPr>
          <w:rFonts w:hint="eastAsia" w:ascii="Times New Roman" w:hAnsi="Times New Roman" w:eastAsia="仿宋_GB2312" w:cs="Times New Roman"/>
          <w:color w:val="auto"/>
          <w:kern w:val="2"/>
          <w:sz w:val="32"/>
          <w:szCs w:val="32"/>
          <w:lang w:val="en-US" w:eastAsia="zh-CN" w:bidi="ar-SA"/>
        </w:rPr>
        <w:t>，累计</w:t>
      </w:r>
      <w:r>
        <w:rPr>
          <w:rFonts w:hint="default" w:ascii="Times New Roman" w:hAnsi="Times New Roman" w:eastAsia="仿宋_GB2312" w:cs="Times New Roman"/>
          <w:color w:val="auto"/>
          <w:kern w:val="2"/>
          <w:sz w:val="32"/>
          <w:szCs w:val="32"/>
          <w:lang w:val="en-US" w:eastAsia="zh-CN" w:bidi="ar-SA"/>
        </w:rPr>
        <w:t>偿还政府债务</w:t>
      </w:r>
      <w:r>
        <w:rPr>
          <w:rFonts w:hint="eastAsia" w:ascii="Times New Roman" w:hAnsi="Times New Roman" w:eastAsia="仿宋_GB2312" w:cs="Times New Roman"/>
          <w:color w:val="auto"/>
          <w:kern w:val="2"/>
          <w:sz w:val="32"/>
          <w:szCs w:val="32"/>
          <w:lang w:val="en-US" w:eastAsia="zh-CN" w:bidi="ar-SA"/>
        </w:rPr>
        <w:t>3624</w:t>
      </w:r>
      <w:r>
        <w:rPr>
          <w:rFonts w:hint="default" w:ascii="Times New Roman" w:hAnsi="Times New Roman" w:eastAsia="仿宋_GB2312" w:cs="Times New Roman"/>
          <w:color w:val="auto"/>
          <w:kern w:val="2"/>
          <w:sz w:val="32"/>
          <w:szCs w:val="32"/>
          <w:lang w:val="en-US" w:eastAsia="zh-CN" w:bidi="ar-SA"/>
        </w:rPr>
        <w:t>万元</w:t>
      </w:r>
      <w:r>
        <w:rPr>
          <w:rFonts w:hint="eastAsia" w:ascii="Times New Roman" w:hAnsi="Times New Roman" w:eastAsia="仿宋_GB2312" w:cs="Times New Roman"/>
          <w:color w:val="auto"/>
          <w:kern w:val="2"/>
          <w:sz w:val="32"/>
          <w:szCs w:val="32"/>
          <w:lang w:val="en-US" w:eastAsia="zh-CN" w:bidi="ar-SA"/>
        </w:rPr>
        <w:t>，历史债务基本清零。</w:t>
      </w:r>
    </w:p>
    <w:p w14:paraId="2C88708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宋体" w:eastAsia="仿宋_GB2312"/>
          <w:b/>
          <w:bCs/>
          <w:color w:val="000000"/>
          <w:sz w:val="32"/>
          <w:szCs w:val="32"/>
          <w:lang w:val="en-US" w:eastAsia="zh-CN"/>
        </w:rPr>
        <w:t>疫情防控有力有效。</w:t>
      </w:r>
      <w:r>
        <w:rPr>
          <w:rFonts w:hint="eastAsia" w:ascii="仿宋_GB2312" w:hAnsi="仿宋_GB2312" w:eastAsia="仿宋_GB2312" w:cs="仿宋_GB2312"/>
          <w:sz w:val="32"/>
          <w:szCs w:val="32"/>
          <w:lang w:val="en-US" w:eastAsia="zh-CN"/>
        </w:rPr>
        <w:t>全力克服建成区面积大、老旧小区多、辖区居民多、抗疫重点医院和高校聚集等重重困难，众志成城共同打赢疫情防控阻击战。疫情初始，准确研判，在全市率先打响疫情防控保卫战。一级响应启动后，第一时间进入疫情防控状态，迅速阻断首发聚集性疫情传播。肩负重任，全力保障了康安、红旗医院承担全省东南部危重病例救治任务，加派人员、提供物资，全力支持高速路口布防。沉着应对辖区密接人员多、流调任务重等困难，管理重点人群数量接近全市的30%。织牢织密疫情防控安全网，推行“三点一线”检测法，7天完成18.7万城区居民核酸检测大排查，检测人数接近全市总数的30%。严格落实属地管控责任，全力做好辖区大中专院校4.9万学生返校风险预判，成功保障辖区所有学校如期开学。加强常态化疫情防控，优化防控流程、落实防控标准，组建巡逻队，坚守来之不易的防控成果，为辖区百姓筑起安全“防护门”。全区8个单位和7名个人受到了国家和省、市表彰。</w:t>
      </w:r>
    </w:p>
    <w:p w14:paraId="50CC370D">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eastAsia="zh-CN"/>
        </w:rPr>
      </w:pPr>
      <w:r>
        <w:rPr>
          <w:rFonts w:hint="eastAsia" w:ascii="仿宋_GB2312" w:hAnsi="宋体" w:eastAsia="仿宋_GB2312"/>
          <w:b/>
          <w:bCs/>
          <w:color w:val="000000"/>
          <w:sz w:val="32"/>
          <w:szCs w:val="32"/>
        </w:rPr>
        <w:t>平安爱民</w:t>
      </w:r>
      <w:r>
        <w:rPr>
          <w:rFonts w:hint="eastAsia" w:ascii="仿宋_GB2312" w:hAnsi="宋体" w:eastAsia="仿宋_GB2312"/>
          <w:b/>
          <w:bCs/>
          <w:color w:val="000000"/>
          <w:sz w:val="32"/>
          <w:szCs w:val="32"/>
          <w:lang w:eastAsia="zh-CN"/>
        </w:rPr>
        <w:t>创建扎实有效</w:t>
      </w:r>
      <w:r>
        <w:rPr>
          <w:rFonts w:hint="eastAsia" w:ascii="仿宋_GB2312" w:hAnsi="宋体" w:eastAsia="仿宋_GB2312"/>
          <w:b/>
          <w:bCs/>
          <w:color w:val="000000"/>
          <w:sz w:val="32"/>
          <w:szCs w:val="32"/>
        </w:rPr>
        <w:t>。</w:t>
      </w:r>
      <w:r>
        <w:rPr>
          <w:rFonts w:hint="eastAsia" w:ascii="仿宋_GB2312" w:hAnsi="宋体" w:eastAsia="仿宋_GB2312"/>
          <w:color w:val="000000"/>
          <w:sz w:val="32"/>
          <w:szCs w:val="32"/>
          <w:lang w:eastAsia="zh-CN"/>
        </w:rPr>
        <w:t>全力推进扫黑除恶专项斗争，严厉打击邪教组织、电信网络诈骗、涉黑等违法犯罪活动。开展重点区域环境排查等系列平安创建活动，重大恶性</w:t>
      </w:r>
      <w:r>
        <w:rPr>
          <w:rFonts w:hint="eastAsia" w:ascii="仿宋_GB2312" w:hAnsi="仿宋" w:eastAsia="仿宋_GB2312"/>
          <w:sz w:val="32"/>
          <w:szCs w:val="32"/>
        </w:rPr>
        <w:t>案件破案率</w:t>
      </w:r>
      <w:r>
        <w:rPr>
          <w:rFonts w:hint="eastAsia" w:ascii="仿宋_GB2312" w:hAnsi="仿宋" w:eastAsia="仿宋_GB2312"/>
          <w:sz w:val="32"/>
          <w:szCs w:val="32"/>
          <w:lang w:eastAsia="zh-CN"/>
        </w:rPr>
        <w:t>达到</w:t>
      </w:r>
      <w:r>
        <w:rPr>
          <w:rFonts w:hint="eastAsia" w:ascii="仿宋_GB2312" w:hAnsi="仿宋" w:eastAsia="仿宋_GB2312"/>
          <w:sz w:val="32"/>
          <w:szCs w:val="32"/>
        </w:rPr>
        <w:t>100%</w:t>
      </w:r>
      <w:r>
        <w:rPr>
          <w:rFonts w:hint="eastAsia" w:ascii="仿宋_GB2312" w:hAnsi="仿宋" w:eastAsia="仿宋_GB2312"/>
          <w:sz w:val="32"/>
          <w:szCs w:val="32"/>
          <w:lang w:eastAsia="zh-CN"/>
        </w:rPr>
        <w:t>，群众安全感、满意度大幅提升。</w:t>
      </w:r>
      <w:r>
        <w:rPr>
          <w:rFonts w:hint="eastAsia" w:ascii="仿宋_GB2312" w:hAnsi="宋体" w:eastAsia="仿宋_GB2312"/>
          <w:color w:val="000000"/>
          <w:sz w:val="32"/>
          <w:szCs w:val="32"/>
        </w:rPr>
        <w:t>省级标准化法律援助中心</w:t>
      </w:r>
      <w:r>
        <w:rPr>
          <w:rFonts w:hint="eastAsia" w:ascii="仿宋_GB2312" w:hAnsi="宋体" w:eastAsia="仿宋_GB2312"/>
          <w:color w:val="000000"/>
          <w:sz w:val="32"/>
          <w:szCs w:val="32"/>
          <w:lang w:eastAsia="zh-CN"/>
        </w:rPr>
        <w:t>运转顺利，</w:t>
      </w:r>
      <w:r>
        <w:rPr>
          <w:rFonts w:hint="eastAsia" w:ascii="仿宋_GB2312" w:hAnsi="宋体" w:eastAsia="仿宋_GB2312"/>
          <w:color w:val="000000"/>
          <w:sz w:val="32"/>
          <w:szCs w:val="32"/>
        </w:rPr>
        <w:t>“三调联动”机制成功化解</w:t>
      </w:r>
      <w:r>
        <w:rPr>
          <w:rFonts w:hint="eastAsia" w:ascii="仿宋_GB2312" w:hAnsi="宋体" w:eastAsia="仿宋_GB2312"/>
          <w:color w:val="000000"/>
          <w:sz w:val="32"/>
          <w:szCs w:val="32"/>
          <w:lang w:eastAsia="zh-CN"/>
        </w:rPr>
        <w:t>了</w:t>
      </w:r>
      <w:r>
        <w:rPr>
          <w:rFonts w:hint="eastAsia" w:ascii="仿宋_GB2312" w:hAnsi="宋体" w:eastAsia="仿宋_GB2312"/>
          <w:color w:val="000000"/>
          <w:sz w:val="32"/>
          <w:szCs w:val="32"/>
        </w:rPr>
        <w:t>各类矛盾纠纷</w:t>
      </w:r>
      <w:r>
        <w:rPr>
          <w:rFonts w:hint="eastAsia" w:ascii="仿宋_GB2312" w:hAnsi="宋体" w:eastAsia="仿宋_GB2312"/>
          <w:color w:val="000000"/>
          <w:sz w:val="32"/>
          <w:szCs w:val="32"/>
          <w:lang w:val="en-US" w:eastAsia="zh-CN"/>
        </w:rPr>
        <w:t>18件</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社区矫正工作</w:t>
      </w:r>
      <w:r>
        <w:rPr>
          <w:rFonts w:hint="eastAsia" w:ascii="仿宋_GB2312" w:hAnsi="宋体" w:eastAsia="仿宋_GB2312"/>
          <w:color w:val="000000"/>
          <w:sz w:val="32"/>
          <w:szCs w:val="32"/>
          <w:lang w:eastAsia="zh-CN"/>
        </w:rPr>
        <w:t>稳步开展，</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eastAsia="zh-CN"/>
        </w:rPr>
        <w:t>七</w:t>
      </w:r>
      <w:r>
        <w:rPr>
          <w:rFonts w:hint="eastAsia" w:ascii="仿宋_GB2312" w:hAnsi="宋体" w:eastAsia="仿宋_GB2312"/>
          <w:color w:val="000000"/>
          <w:sz w:val="32"/>
          <w:szCs w:val="32"/>
        </w:rPr>
        <w:t>五”普法圆满完成。</w:t>
      </w:r>
      <w:r>
        <w:rPr>
          <w:rFonts w:hint="eastAsia" w:ascii="仿宋_GB2312" w:hAnsi="宋体" w:eastAsia="仿宋_GB2312"/>
          <w:color w:val="000000"/>
          <w:sz w:val="32"/>
          <w:szCs w:val="32"/>
          <w:lang w:eastAsia="zh-CN"/>
        </w:rPr>
        <w:t>按照“双随机一公开”和专项工作要求，全面加强食品、药品、</w:t>
      </w:r>
      <w:r>
        <w:rPr>
          <w:rFonts w:hint="eastAsia" w:ascii="Times New Roman" w:hAnsi="Times New Roman" w:eastAsia="仿宋_GB2312" w:cs="仿宋_GB2312"/>
          <w:b w:val="0"/>
          <w:bCs w:val="0"/>
          <w:sz w:val="32"/>
          <w:szCs w:val="32"/>
          <w:highlight w:val="none"/>
          <w:lang w:val="en-US" w:eastAsia="zh-CN"/>
        </w:rPr>
        <w:t>特种设备、产品质量</w:t>
      </w:r>
      <w:r>
        <w:rPr>
          <w:rFonts w:hint="eastAsia" w:ascii="仿宋_GB2312" w:hAnsi="宋体" w:eastAsia="仿宋_GB2312"/>
          <w:color w:val="000000"/>
          <w:sz w:val="32"/>
          <w:szCs w:val="32"/>
          <w:lang w:eastAsia="zh-CN"/>
        </w:rPr>
        <w:t>监管，连续五年企业年报率达到</w:t>
      </w:r>
      <w:r>
        <w:rPr>
          <w:rFonts w:hint="eastAsia" w:ascii="仿宋_GB2312" w:hAnsi="宋体" w:eastAsia="仿宋_GB2312"/>
          <w:color w:val="000000"/>
          <w:sz w:val="32"/>
          <w:szCs w:val="32"/>
          <w:lang w:val="en-US" w:eastAsia="zh-CN"/>
        </w:rPr>
        <w:t>100%，稳居全国首位。正在申报国家级维权示范先进单位。全力化解社会矛盾。克服债务高、矛盾多、难度大、时间长等诸多困难，全力攻坚，成功化解了11号2期、8号、6号、23号、10号北、金邸公馆等棚户区改造、房地产开发等征收项目多年逾期未回迁及一房多售问题，得到市委、市政府，国家、省巡视组以及居民群众的充分肯定和高度赞扬。</w:t>
      </w:r>
      <w:r>
        <w:rPr>
          <w:rFonts w:hint="eastAsia" w:ascii="仿宋_GB2312" w:hAnsi="宋体" w:eastAsia="仿宋_GB2312"/>
          <w:color w:val="000000"/>
          <w:sz w:val="32"/>
          <w:szCs w:val="32"/>
          <w:highlight w:val="none"/>
          <w:lang w:eastAsia="zh-CN"/>
        </w:rPr>
        <w:t>解决</w:t>
      </w:r>
      <w:r>
        <w:rPr>
          <w:rFonts w:hint="default" w:ascii="Times New Roman" w:hAnsi="Times New Roman" w:eastAsia="仿宋_GB2312" w:cs="Times New Roman"/>
          <w:color w:val="auto"/>
          <w:spacing w:val="0"/>
          <w:sz w:val="32"/>
          <w:szCs w:val="32"/>
          <w:highlight w:val="none"/>
          <w:lang w:eastAsia="zh-CN"/>
        </w:rPr>
        <w:t>信访积案</w:t>
      </w:r>
      <w:r>
        <w:rPr>
          <w:rFonts w:hint="eastAsia" w:ascii="Times New Roman" w:hAnsi="Times New Roman" w:eastAsia="仿宋_GB2312" w:cs="Times New Roman"/>
          <w:color w:val="auto"/>
          <w:spacing w:val="0"/>
          <w:sz w:val="32"/>
          <w:szCs w:val="32"/>
          <w:highlight w:val="none"/>
          <w:lang w:val="en-US" w:eastAsia="zh-CN"/>
        </w:rPr>
        <w:t>53件</w:t>
      </w:r>
      <w:r>
        <w:rPr>
          <w:rFonts w:hint="default" w:ascii="Times New Roman" w:hAnsi="Times New Roman" w:eastAsia="仿宋_GB2312" w:cs="Times New Roman"/>
          <w:color w:val="auto"/>
          <w:spacing w:val="0"/>
          <w:sz w:val="32"/>
          <w:szCs w:val="32"/>
          <w:highlight w:val="none"/>
          <w:lang w:eastAsia="zh-CN"/>
        </w:rPr>
        <w:t>，</w:t>
      </w:r>
      <w:r>
        <w:rPr>
          <w:rFonts w:hint="eastAsia" w:ascii="仿宋" w:hAnsi="仿宋" w:eastAsia="仿宋" w:cs="仿宋"/>
          <w:spacing w:val="0"/>
          <w:sz w:val="32"/>
          <w:szCs w:val="32"/>
          <w:highlight w:val="none"/>
        </w:rPr>
        <w:t>实现</w:t>
      </w:r>
      <w:r>
        <w:rPr>
          <w:rFonts w:hint="eastAsia" w:ascii="仿宋" w:hAnsi="仿宋" w:eastAsia="仿宋" w:cs="仿宋"/>
          <w:spacing w:val="0"/>
          <w:sz w:val="32"/>
          <w:szCs w:val="32"/>
          <w:highlight w:val="none"/>
          <w:lang w:eastAsia="zh-CN"/>
        </w:rPr>
        <w:t>重大敏感时期</w:t>
      </w:r>
      <w:r>
        <w:rPr>
          <w:rFonts w:hint="eastAsia" w:ascii="仿宋" w:hAnsi="仿宋" w:eastAsia="仿宋" w:cs="仿宋"/>
          <w:spacing w:val="0"/>
          <w:sz w:val="32"/>
          <w:szCs w:val="32"/>
          <w:highlight w:val="none"/>
        </w:rPr>
        <w:t>“零非访”</w:t>
      </w:r>
      <w:r>
        <w:rPr>
          <w:rFonts w:hint="eastAsia" w:ascii="仿宋" w:hAnsi="仿宋" w:eastAsia="仿宋" w:cs="仿宋"/>
          <w:spacing w:val="0"/>
          <w:sz w:val="32"/>
          <w:szCs w:val="32"/>
          <w:highlight w:val="none"/>
          <w:lang w:eastAsia="zh-CN"/>
        </w:rPr>
        <w:t>，</w:t>
      </w:r>
      <w:r>
        <w:rPr>
          <w:rFonts w:hint="eastAsia" w:ascii="仿宋" w:hAnsi="仿宋" w:eastAsia="仿宋" w:cs="仿宋"/>
          <w:spacing w:val="0"/>
          <w:sz w:val="32"/>
          <w:szCs w:val="32"/>
          <w:highlight w:val="none"/>
        </w:rPr>
        <w:t>长期进京非访人员数量逐</w:t>
      </w:r>
      <w:r>
        <w:rPr>
          <w:rFonts w:hint="eastAsia" w:ascii="仿宋" w:hAnsi="仿宋" w:eastAsia="仿宋" w:cs="仿宋"/>
          <w:spacing w:val="0"/>
          <w:sz w:val="32"/>
          <w:szCs w:val="32"/>
          <w:highlight w:val="none"/>
          <w:lang w:eastAsia="zh-CN"/>
        </w:rPr>
        <w:t>年</w:t>
      </w:r>
      <w:r>
        <w:rPr>
          <w:rFonts w:hint="eastAsia" w:ascii="仿宋" w:hAnsi="仿宋" w:eastAsia="仿宋" w:cs="仿宋"/>
          <w:spacing w:val="0"/>
          <w:sz w:val="32"/>
          <w:szCs w:val="32"/>
          <w:highlight w:val="none"/>
        </w:rPr>
        <w:t>下降，有效抑制进京非正常访。</w:t>
      </w:r>
      <w:r>
        <w:rPr>
          <w:rFonts w:hint="eastAsia" w:ascii="仿宋" w:hAnsi="仿宋" w:eastAsia="仿宋" w:cs="仿宋"/>
          <w:color w:val="auto"/>
          <w:spacing w:val="0"/>
          <w:sz w:val="32"/>
          <w:szCs w:val="32"/>
          <w:highlight w:val="none"/>
        </w:rPr>
        <w:t>网上投诉</w:t>
      </w:r>
      <w:r>
        <w:rPr>
          <w:rFonts w:hint="eastAsia" w:ascii="仿宋" w:hAnsi="仿宋" w:eastAsia="仿宋" w:cs="仿宋"/>
          <w:color w:val="auto"/>
          <w:spacing w:val="0"/>
          <w:sz w:val="32"/>
          <w:szCs w:val="32"/>
          <w:highlight w:val="none"/>
          <w:lang w:eastAsia="zh-CN"/>
        </w:rPr>
        <w:t>、信件、区级</w:t>
      </w:r>
      <w:r>
        <w:rPr>
          <w:rFonts w:hint="eastAsia" w:ascii="仿宋" w:hAnsi="仿宋" w:eastAsia="仿宋" w:cs="仿宋"/>
          <w:color w:val="auto"/>
          <w:spacing w:val="0"/>
          <w:sz w:val="32"/>
          <w:szCs w:val="32"/>
          <w:highlight w:val="none"/>
        </w:rPr>
        <w:t>行政首长电话</w:t>
      </w:r>
      <w:r>
        <w:rPr>
          <w:rFonts w:hint="eastAsia" w:ascii="仿宋" w:hAnsi="仿宋" w:eastAsia="仿宋" w:cs="仿宋"/>
          <w:color w:val="auto"/>
          <w:spacing w:val="0"/>
          <w:sz w:val="32"/>
          <w:szCs w:val="32"/>
          <w:highlight w:val="none"/>
          <w:lang w:val="en-US" w:eastAsia="zh-CN"/>
        </w:rPr>
        <w:t>和</w:t>
      </w:r>
      <w:r>
        <w:rPr>
          <w:rFonts w:hint="eastAsia" w:ascii="仿宋" w:hAnsi="仿宋" w:eastAsia="仿宋" w:cs="仿宋"/>
          <w:color w:val="auto"/>
          <w:spacing w:val="0"/>
          <w:sz w:val="32"/>
          <w:szCs w:val="32"/>
          <w:highlight w:val="none"/>
          <w:lang w:eastAsia="zh-CN"/>
        </w:rPr>
        <w:t>领导信箱</w:t>
      </w:r>
      <w:r>
        <w:rPr>
          <w:rFonts w:hint="eastAsia" w:ascii="仿宋" w:hAnsi="仿宋" w:eastAsia="仿宋" w:cs="仿宋"/>
          <w:color w:val="auto"/>
          <w:spacing w:val="0"/>
          <w:sz w:val="32"/>
          <w:szCs w:val="32"/>
          <w:highlight w:val="none"/>
        </w:rPr>
        <w:t>案件办结率</w:t>
      </w:r>
      <w:r>
        <w:rPr>
          <w:rFonts w:hint="eastAsia" w:ascii="仿宋" w:hAnsi="仿宋" w:eastAsia="仿宋" w:cs="仿宋"/>
          <w:color w:val="auto"/>
          <w:spacing w:val="0"/>
          <w:sz w:val="32"/>
          <w:szCs w:val="32"/>
          <w:highlight w:val="none"/>
          <w:lang w:eastAsia="zh-CN"/>
        </w:rPr>
        <w:t>全部达到</w:t>
      </w:r>
      <w:r>
        <w:rPr>
          <w:rFonts w:hint="eastAsia" w:ascii="仿宋" w:hAnsi="仿宋" w:eastAsia="仿宋" w:cs="仿宋"/>
          <w:color w:val="auto"/>
          <w:spacing w:val="0"/>
          <w:sz w:val="32"/>
          <w:szCs w:val="32"/>
          <w:highlight w:val="none"/>
          <w:lang w:val="en-US" w:eastAsia="zh-CN"/>
        </w:rPr>
        <w:t>100</w:t>
      </w:r>
      <w:r>
        <w:rPr>
          <w:rFonts w:hint="eastAsia" w:ascii="仿宋" w:hAnsi="仿宋" w:eastAsia="仿宋" w:cs="仿宋"/>
          <w:color w:val="auto"/>
          <w:spacing w:val="0"/>
          <w:sz w:val="32"/>
          <w:szCs w:val="32"/>
          <w:highlight w:val="none"/>
        </w:rPr>
        <w:t>%</w:t>
      </w:r>
      <w:r>
        <w:rPr>
          <w:rFonts w:hint="eastAsia" w:ascii="仿宋" w:hAnsi="仿宋" w:eastAsia="仿宋" w:cs="仿宋"/>
          <w:color w:val="auto"/>
          <w:spacing w:val="0"/>
          <w:sz w:val="32"/>
          <w:szCs w:val="32"/>
          <w:highlight w:val="none"/>
          <w:lang w:val="en-US" w:eastAsia="zh-CN"/>
        </w:rPr>
        <w:t>。</w:t>
      </w:r>
      <w:r>
        <w:rPr>
          <w:rFonts w:hint="eastAsia" w:ascii="仿宋_GB2312" w:hAnsi="宋体" w:eastAsia="仿宋_GB2312"/>
          <w:color w:val="000000"/>
          <w:sz w:val="32"/>
          <w:szCs w:val="32"/>
          <w:highlight w:val="none"/>
          <w:lang w:eastAsia="zh-CN"/>
        </w:rPr>
        <w:t>深化应急体制改革，</w:t>
      </w:r>
      <w:r>
        <w:rPr>
          <w:rFonts w:hint="eastAsia" w:ascii="仿宋_GB2312" w:hAnsi="宋体" w:eastAsia="仿宋_GB2312"/>
          <w:color w:val="000000"/>
          <w:sz w:val="32"/>
          <w:szCs w:val="32"/>
          <w:lang w:eastAsia="zh-CN"/>
        </w:rPr>
        <w:t>安全生产责任制进一步健全，应急管理体制更加完善，安全生产形势持续平稳，未发生较大以上安全生产责任事故。</w:t>
      </w:r>
    </w:p>
    <w:p w14:paraId="42C6F4E4">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eastAsia="zh-CN"/>
        </w:rPr>
        <w:t>“十三五”期间，爱民区</w:t>
      </w:r>
      <w:r>
        <w:rPr>
          <w:rFonts w:hint="eastAsia" w:ascii="仿宋_GB2312" w:hAnsi="宋体" w:eastAsia="仿宋_GB2312"/>
          <w:color w:val="000000"/>
          <w:sz w:val="32"/>
          <w:szCs w:val="32"/>
        </w:rPr>
        <w:t>先后荣获</w:t>
      </w:r>
      <w:r>
        <w:rPr>
          <w:rFonts w:hint="eastAsia" w:ascii="仿宋_GB2312" w:hAnsi="宋体" w:eastAsia="仿宋_GB2312"/>
          <w:color w:val="000000"/>
          <w:sz w:val="32"/>
          <w:szCs w:val="32"/>
          <w:lang w:eastAsia="zh-CN"/>
        </w:rPr>
        <w:t>省级文明城区、省双拥模范区、</w:t>
      </w:r>
      <w:r>
        <w:rPr>
          <w:rFonts w:hint="eastAsia" w:ascii="仿宋" w:hAnsi="仿宋" w:eastAsia="仿宋"/>
          <w:sz w:val="32"/>
          <w:szCs w:val="32"/>
        </w:rPr>
        <w:t>省平安区</w:t>
      </w:r>
      <w:r>
        <w:rPr>
          <w:rFonts w:hint="eastAsia" w:ascii="仿宋" w:hAnsi="仿宋" w:eastAsia="仿宋"/>
          <w:sz w:val="32"/>
          <w:szCs w:val="32"/>
          <w:lang w:eastAsia="zh-CN"/>
        </w:rPr>
        <w:t>、省社会救助示范区、省发展农村集体经济先进集体、省学校体育工作先进集体</w:t>
      </w:r>
      <w:r>
        <w:rPr>
          <w:rFonts w:hint="eastAsia" w:ascii="仿宋_GB2312" w:hAnsi="宋体" w:eastAsia="仿宋_GB2312"/>
          <w:color w:val="000000"/>
          <w:sz w:val="32"/>
          <w:szCs w:val="32"/>
        </w:rPr>
        <w:t>等</w:t>
      </w:r>
      <w:r>
        <w:rPr>
          <w:rFonts w:hint="eastAsia" w:ascii="仿宋_GB2312" w:hAnsi="宋体" w:eastAsia="仿宋_GB2312"/>
          <w:color w:val="000000"/>
          <w:sz w:val="32"/>
          <w:szCs w:val="32"/>
          <w:lang w:eastAsia="zh-CN"/>
        </w:rPr>
        <w:t>各类荣誉</w:t>
      </w:r>
      <w:r>
        <w:rPr>
          <w:rFonts w:hint="eastAsia" w:ascii="仿宋_GB2312" w:hAnsi="宋体" w:eastAsia="仿宋_GB2312"/>
          <w:color w:val="000000"/>
          <w:sz w:val="32"/>
          <w:szCs w:val="32"/>
        </w:rPr>
        <w:t>称号20多项。</w:t>
      </w:r>
    </w:p>
    <w:p w14:paraId="134E7A81">
      <w:pPr>
        <w:pStyle w:val="2"/>
        <w:rPr>
          <w:rFonts w:hint="eastAsia"/>
        </w:rPr>
      </w:pPr>
    </w:p>
    <w:p w14:paraId="348290D8">
      <w:pPr>
        <w:pStyle w:val="4"/>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面临的发展环境</w:t>
      </w:r>
    </w:p>
    <w:p w14:paraId="649636B1">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十四五”时期，国家加快转变经济发展方式，以国内大循环为主体，国际国内双循环相互促进的新发展格局加快构建。中俄关系更加稳固，我省对俄开放合作更加广泛，我们身处其中。我省实施“六个强省”战略，推进工业强省“百千万工程”。我市内生发展动能持续积蓄，一批重大交通基础设施加快建成、重大开放平台建立健全、重大产业项目加速布局，全省旅发大会开启“牡丹江时刻”，各类科技创新资源加速集聚，推进经济高质量发展具有多方面优势条件。爱民区作为牡丹江主城区的重要组成部分，与全市经济社会发展密不可分。按照</w:t>
      </w:r>
      <w:r>
        <w:rPr>
          <w:rFonts w:hint="eastAsia" w:ascii="仿宋_GB2312" w:hAnsi="仿宋_GB2312" w:eastAsia="仿宋_GB2312" w:cs="仿宋_GB2312"/>
          <w:b w:val="0"/>
          <w:bCs w:val="0"/>
          <w:color w:val="auto"/>
          <w:sz w:val="32"/>
          <w:szCs w:val="32"/>
          <w:lang w:val="en-US" w:eastAsia="zh-CN"/>
        </w:rPr>
        <w:t>“三长三短”，深刻分析我区工业基础、商贸机遇、房地产走势、农业特色和旅游潜力的比较优势。扬工业基础雄厚之长，补科技创新之短；扬商贸旅游后发潜力之长，避活力不足之短；扬特色绿色之长，克农业耕地不足之短。</w:t>
      </w:r>
    </w:p>
    <w:p w14:paraId="153E1023">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val="en-US" w:eastAsia="zh-CN"/>
        </w:rPr>
      </w:pPr>
      <w:r>
        <w:rPr>
          <w:rFonts w:hint="eastAsia" w:ascii="仿宋_GB2312" w:hAnsi="宋体" w:eastAsia="仿宋_GB2312"/>
          <w:b/>
          <w:bCs/>
          <w:color w:val="000000"/>
          <w:sz w:val="32"/>
          <w:szCs w:val="32"/>
          <w:lang w:val="en-US" w:eastAsia="zh-CN"/>
        </w:rPr>
        <w:t>从工业发展上看</w:t>
      </w:r>
      <w:r>
        <w:rPr>
          <w:rFonts w:hint="eastAsia" w:ascii="仿宋_GB2312" w:hAnsi="宋体" w:eastAsia="仿宋_GB2312"/>
          <w:color w:val="000000"/>
          <w:sz w:val="32"/>
          <w:szCs w:val="32"/>
          <w:lang w:val="en-US" w:eastAsia="zh-CN"/>
        </w:rPr>
        <w:t>，江浙沪、北京等发达地区产业政策调整，精细化工、装备制造等部分产业急需外移。多年以来，我区已形成装备制造、生物医药、新材料三个主导产业。将大庆路化工园区和辖区闲置厂房场地等作为承载平台，在设备、人员技术、上下游吃配、运力等生产要素方面具有很大优势，可以承接发达地区转移项目。国家以内循环为主的战略调整，势必扩大工业品消费市场。我区石油装备、农机配套、电力设备、林纸等产业，产品门类较多，可快速抢占市场，扩大市场份额。</w:t>
      </w:r>
    </w:p>
    <w:p w14:paraId="5BC91700">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val="en-US" w:eastAsia="zh-CN"/>
        </w:rPr>
      </w:pPr>
      <w:r>
        <w:rPr>
          <w:rFonts w:hint="eastAsia" w:ascii="仿宋_GB2312" w:hAnsi="宋体" w:eastAsia="仿宋_GB2312"/>
          <w:b/>
          <w:bCs/>
          <w:color w:val="000000"/>
          <w:sz w:val="32"/>
          <w:szCs w:val="32"/>
          <w:lang w:val="en-US" w:eastAsia="zh-CN"/>
        </w:rPr>
        <w:t>从农业发展上看</w:t>
      </w:r>
      <w:r>
        <w:rPr>
          <w:rFonts w:hint="eastAsia" w:ascii="仿宋_GB2312" w:hAnsi="宋体" w:eastAsia="仿宋_GB2312"/>
          <w:color w:val="000000"/>
          <w:sz w:val="32"/>
          <w:szCs w:val="32"/>
          <w:lang w:val="en-US" w:eastAsia="zh-CN"/>
        </w:rPr>
        <w:t>，国家陆续出台更加严厉的环保政策，医药等产业部分原材料更加紧缺。我区具有得天独厚的资源优势，尤其是坐落在我区的中农发牡丹江军马场，场区管辖范围从七台河到宁安市，拥有11万亩林地、9万亩耕地，可以发展刺五加、平贝、北五味等北药特色中药材种植，继而开展深加工，借助牡丹江中药产业园，形成中药材集散地。随着小康社会的建成，国家内循环扩大内需的推进，居民对生活用品特别是食品品质要求大幅提升，无公害、高端农产品市场越来越大。我区富硒农产品，食用菌、大榛子等山产品品质优良，市场前景广阔。积极与军马场开展深度合作，借助其林地资源优势，可大力发展绿色有机、富硒农业产业。</w:t>
      </w:r>
    </w:p>
    <w:p w14:paraId="781D05F4">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hAnsi="宋体" w:eastAsia="仿宋_GB2312"/>
          <w:color w:val="000000"/>
          <w:sz w:val="32"/>
          <w:szCs w:val="32"/>
          <w:lang w:val="en-US" w:eastAsia="zh-CN"/>
        </w:rPr>
      </w:pPr>
      <w:r>
        <w:rPr>
          <w:rFonts w:hint="eastAsia" w:ascii="仿宋_GB2312" w:hAnsi="宋体" w:eastAsia="仿宋_GB2312"/>
          <w:b/>
          <w:bCs/>
          <w:color w:val="000000"/>
          <w:sz w:val="32"/>
          <w:szCs w:val="32"/>
          <w:lang w:val="en-US" w:eastAsia="zh-CN"/>
        </w:rPr>
        <w:t>从现代服务业发展上看</w:t>
      </w:r>
      <w:r>
        <w:rPr>
          <w:rFonts w:hint="eastAsia" w:ascii="仿宋_GB2312" w:hAnsi="宋体" w:eastAsia="仿宋_GB2312"/>
          <w:color w:val="000000"/>
          <w:sz w:val="32"/>
          <w:szCs w:val="32"/>
          <w:lang w:val="en-US" w:eastAsia="zh-CN"/>
        </w:rPr>
        <w:t>，生产性服务业需求不断增大，我区基础较好，有巨大的发展空间。哈牡、牡佳客运专线通车，以及公铁联运交通枢纽和月星环球港的建设，为我区打造黑龙江东部区域商业集散中心创造了条件。借助全省旅发大会契机，充分挖掘全国距中心城区最近的三道关国家级森林公园、小黄山、雾溪谷、牡纺青年点、牡三公路景观大道等优势，可大力发展乡村游、冰雪游、休闲游，打造三道关旅游名镇，与雪乡、小九寨、莲花湖和威虎山影视城等景区连点成线。利用我区高校多、医院多、闲置门市多等优势，可大力发展高校经济、医疗经济、康养经济和专业批发市场。抓住市里将我区定位为产教融合示范区的契机，发挥辖区科技创新企业多、研发平台多、创新孵化器多等优势，可在研发新产品、工艺改造升级上大作文章。</w:t>
      </w:r>
    </w:p>
    <w:p w14:paraId="6D96206D">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eastAsia="zh-CN"/>
          <w14:textFill>
            <w14:solidFill>
              <w14:schemeClr w14:val="tx1"/>
            </w14:solidFill>
          </w14:textFill>
        </w:rPr>
        <w:t>第三节</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  2035年远景目标</w:t>
      </w:r>
    </w:p>
    <w:p w14:paraId="50918EE7">
      <w:pPr>
        <w:pStyle w:val="4"/>
        <w:keepNext w:val="0"/>
        <w:keepLines w:val="0"/>
        <w:pageBreakBefore w:val="0"/>
        <w:widowControl w:val="0"/>
        <w:kinsoku/>
        <w:wordWrap/>
        <w:overflowPunct/>
        <w:topLinePunct w:val="0"/>
        <w:autoSpaceDE/>
        <w:autoSpaceDN/>
        <w:bidi w:val="0"/>
        <w:adjustRightInd/>
        <w:snapToGrid/>
        <w:spacing w:before="0" w:after="0" w:line="240" w:lineRule="auto"/>
        <w:ind w:left="0" w:leftChars="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展望</w:t>
      </w:r>
      <w:r>
        <w:rPr>
          <w:rFonts w:hint="eastAsia" w:ascii="仿宋" w:hAnsi="仿宋" w:eastAsia="仿宋" w:cs="仿宋"/>
          <w:b w:val="0"/>
          <w:bCs w:val="0"/>
          <w:color w:val="000000"/>
          <w:sz w:val="32"/>
          <w:szCs w:val="32"/>
          <w:lang w:val="en-US" w:eastAsia="zh-CN"/>
        </w:rPr>
        <w:t>2035</w:t>
      </w:r>
      <w:r>
        <w:rPr>
          <w:rFonts w:hint="eastAsia" w:ascii="仿宋" w:hAnsi="仿宋" w:eastAsia="仿宋" w:cs="仿宋"/>
          <w:b w:val="0"/>
          <w:bCs w:val="0"/>
          <w:color w:val="000000"/>
          <w:sz w:val="32"/>
          <w:szCs w:val="32"/>
        </w:rPr>
        <w:t>年，实现全面振兴全方位振兴，建成富强民主文明和谐美丽的现代化</w:t>
      </w:r>
      <w:r>
        <w:rPr>
          <w:rFonts w:hint="eastAsia" w:ascii="仿宋" w:hAnsi="仿宋" w:eastAsia="仿宋" w:cs="仿宋"/>
          <w:b w:val="0"/>
          <w:bCs w:val="0"/>
          <w:color w:val="000000"/>
          <w:sz w:val="32"/>
          <w:szCs w:val="32"/>
          <w:lang w:eastAsia="zh-CN"/>
        </w:rPr>
        <w:t>新爱民</w:t>
      </w:r>
      <w:r>
        <w:rPr>
          <w:rFonts w:hint="eastAsia" w:ascii="仿宋" w:hAnsi="仿宋" w:eastAsia="仿宋" w:cs="仿宋"/>
          <w:b w:val="0"/>
          <w:bCs w:val="0"/>
          <w:color w:val="000000"/>
          <w:sz w:val="32"/>
          <w:szCs w:val="32"/>
        </w:rPr>
        <w:t>。全</w:t>
      </w:r>
      <w:r>
        <w:rPr>
          <w:rFonts w:hint="eastAsia" w:ascii="仿宋" w:hAnsi="仿宋" w:eastAsia="仿宋" w:cs="仿宋"/>
          <w:b w:val="0"/>
          <w:bCs w:val="0"/>
          <w:color w:val="000000"/>
          <w:sz w:val="32"/>
          <w:szCs w:val="32"/>
          <w:lang w:eastAsia="zh-CN"/>
        </w:rPr>
        <w:t>区</w:t>
      </w:r>
      <w:r>
        <w:rPr>
          <w:rFonts w:hint="eastAsia" w:ascii="仿宋" w:hAnsi="仿宋" w:eastAsia="仿宋" w:cs="仿宋"/>
          <w:b w:val="0"/>
          <w:bCs w:val="0"/>
          <w:color w:val="000000"/>
          <w:sz w:val="32"/>
          <w:szCs w:val="32"/>
        </w:rPr>
        <w:t>经济实力、科技实力、综合实力大幅提升</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经济总量和城乡居民人均收入迈上新台阶，创新型城</w:t>
      </w:r>
      <w:r>
        <w:rPr>
          <w:rFonts w:hint="eastAsia" w:ascii="仿宋" w:hAnsi="仿宋" w:eastAsia="仿宋" w:cs="仿宋"/>
          <w:b w:val="0"/>
          <w:bCs w:val="0"/>
          <w:color w:val="000000"/>
          <w:sz w:val="32"/>
          <w:szCs w:val="32"/>
          <w:lang w:eastAsia="zh-CN"/>
        </w:rPr>
        <w:t>区</w:t>
      </w:r>
      <w:r>
        <w:rPr>
          <w:rFonts w:hint="eastAsia" w:ascii="仿宋" w:hAnsi="仿宋" w:eastAsia="仿宋" w:cs="仿宋"/>
          <w:b w:val="0"/>
          <w:bCs w:val="0"/>
          <w:color w:val="000000"/>
          <w:sz w:val="32"/>
          <w:szCs w:val="32"/>
        </w:rPr>
        <w:t>建设取得重要进展；</w:t>
      </w:r>
      <w:r>
        <w:rPr>
          <w:rFonts w:hint="eastAsia" w:ascii="仿宋" w:hAnsi="仿宋" w:eastAsia="仿宋" w:cs="仿宋"/>
          <w:b w:val="0"/>
          <w:bCs w:val="0"/>
          <w:color w:val="000000"/>
          <w:sz w:val="32"/>
          <w:szCs w:val="32"/>
          <w:u w:val="none"/>
        </w:rPr>
        <w:t>基本实现新型工业化、信息化、城镇化、农业现代化；基本实现治理体系和治理能力现代化，人民平等参与、平等发展权利得到充分保障，</w:t>
      </w:r>
      <w:r>
        <w:rPr>
          <w:rFonts w:hint="eastAsia" w:ascii="仿宋" w:hAnsi="仿宋" w:eastAsia="仿宋" w:cs="仿宋"/>
          <w:b w:val="0"/>
          <w:bCs w:val="0"/>
          <w:color w:val="000000"/>
          <w:sz w:val="32"/>
          <w:szCs w:val="32"/>
        </w:rPr>
        <w:t>基本建成法治城</w:t>
      </w:r>
      <w:r>
        <w:rPr>
          <w:rFonts w:hint="eastAsia" w:ascii="仿宋" w:hAnsi="仿宋" w:eastAsia="仿宋" w:cs="仿宋"/>
          <w:b w:val="0"/>
          <w:bCs w:val="0"/>
          <w:color w:val="000000"/>
          <w:sz w:val="32"/>
          <w:szCs w:val="32"/>
          <w:lang w:eastAsia="zh-CN"/>
        </w:rPr>
        <w:t>区</w:t>
      </w:r>
      <w:r>
        <w:rPr>
          <w:rFonts w:hint="eastAsia" w:ascii="仿宋" w:hAnsi="仿宋" w:eastAsia="仿宋" w:cs="仿宋"/>
          <w:b w:val="0"/>
          <w:bCs w:val="0"/>
          <w:color w:val="000000"/>
          <w:sz w:val="32"/>
          <w:szCs w:val="32"/>
        </w:rPr>
        <w:t>；文化、教育、人才、体育、健康等事业全面发展，人民素质和社会文明程度达到新高度，文化软实力显著增强</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建成文化强</w:t>
      </w:r>
      <w:r>
        <w:rPr>
          <w:rFonts w:hint="eastAsia" w:ascii="仿宋" w:hAnsi="仿宋" w:eastAsia="仿宋" w:cs="仿宋"/>
          <w:b w:val="0"/>
          <w:bCs w:val="0"/>
          <w:color w:val="000000"/>
          <w:sz w:val="32"/>
          <w:szCs w:val="32"/>
          <w:lang w:eastAsia="zh-CN"/>
        </w:rPr>
        <w:t>区</w:t>
      </w:r>
      <w:r>
        <w:rPr>
          <w:rFonts w:hint="eastAsia" w:ascii="仿宋" w:hAnsi="仿宋" w:eastAsia="仿宋" w:cs="仿宋"/>
          <w:b w:val="0"/>
          <w:bCs w:val="0"/>
          <w:color w:val="000000"/>
          <w:sz w:val="32"/>
          <w:szCs w:val="32"/>
        </w:rPr>
        <w:t>、健康城</w:t>
      </w:r>
      <w:r>
        <w:rPr>
          <w:rFonts w:hint="eastAsia" w:ascii="仿宋" w:hAnsi="仿宋" w:eastAsia="仿宋" w:cs="仿宋"/>
          <w:b w:val="0"/>
          <w:bCs w:val="0"/>
          <w:color w:val="000000"/>
          <w:sz w:val="32"/>
          <w:szCs w:val="32"/>
          <w:lang w:eastAsia="zh-CN"/>
        </w:rPr>
        <w:t>区</w:t>
      </w:r>
      <w:r>
        <w:rPr>
          <w:rFonts w:hint="eastAsia" w:ascii="仿宋" w:hAnsi="仿宋" w:eastAsia="仿宋" w:cs="仿宋"/>
          <w:b w:val="0"/>
          <w:bCs w:val="0"/>
          <w:color w:val="000000"/>
          <w:sz w:val="32"/>
          <w:szCs w:val="32"/>
        </w:rPr>
        <w:t>；广泛形成绿色生产生活方式，生态</w:t>
      </w:r>
      <w:r>
        <w:rPr>
          <w:rFonts w:hint="eastAsia" w:ascii="仿宋" w:hAnsi="仿宋" w:eastAsia="仿宋" w:cs="仿宋"/>
          <w:b w:val="0"/>
          <w:bCs w:val="0"/>
          <w:color w:val="000000"/>
          <w:sz w:val="32"/>
          <w:szCs w:val="32"/>
          <w:u w:val="none"/>
          <w:lang w:eastAsia="zh-CN"/>
        </w:rPr>
        <w:t>底线</w:t>
      </w:r>
      <w:r>
        <w:rPr>
          <w:rFonts w:hint="eastAsia" w:ascii="仿宋" w:hAnsi="仿宋" w:eastAsia="仿宋" w:cs="仿宋"/>
          <w:b w:val="0"/>
          <w:bCs w:val="0"/>
          <w:color w:val="000000"/>
          <w:sz w:val="32"/>
          <w:szCs w:val="32"/>
        </w:rPr>
        <w:t>更加牢固，美丽</w:t>
      </w:r>
      <w:r>
        <w:rPr>
          <w:rFonts w:hint="eastAsia" w:ascii="仿宋" w:hAnsi="仿宋" w:eastAsia="仿宋" w:cs="仿宋"/>
          <w:b w:val="0"/>
          <w:bCs w:val="0"/>
          <w:color w:val="000000"/>
          <w:sz w:val="32"/>
          <w:szCs w:val="32"/>
          <w:lang w:eastAsia="zh-CN"/>
        </w:rPr>
        <w:t>宜居城区</w:t>
      </w:r>
      <w:r>
        <w:rPr>
          <w:rFonts w:hint="eastAsia" w:ascii="仿宋" w:hAnsi="仿宋" w:eastAsia="仿宋" w:cs="仿宋"/>
          <w:b w:val="0"/>
          <w:bCs w:val="0"/>
          <w:color w:val="000000"/>
          <w:sz w:val="32"/>
          <w:szCs w:val="32"/>
        </w:rPr>
        <w:t>建设目标基本实现；改革开放迈出新步伐，建成高标准市场体系，参与国际国内经济合作和竞争新优势明显增强；人均国内生产总值明显提高，中等收入群体显著扩大，城乡发展差距和居民生活水平差距显著缩小，基本公共服务实现均等化；平安</w:t>
      </w:r>
      <w:r>
        <w:rPr>
          <w:rFonts w:hint="eastAsia" w:ascii="仿宋" w:hAnsi="仿宋" w:eastAsia="仿宋" w:cs="仿宋"/>
          <w:b w:val="0"/>
          <w:bCs w:val="0"/>
          <w:color w:val="000000"/>
          <w:sz w:val="32"/>
          <w:szCs w:val="32"/>
          <w:lang w:eastAsia="zh-CN"/>
        </w:rPr>
        <w:t>爱民</w:t>
      </w:r>
      <w:r>
        <w:rPr>
          <w:rFonts w:hint="eastAsia" w:ascii="仿宋" w:hAnsi="仿宋" w:eastAsia="仿宋" w:cs="仿宋"/>
          <w:b w:val="0"/>
          <w:bCs w:val="0"/>
          <w:color w:val="000000"/>
          <w:sz w:val="32"/>
          <w:szCs w:val="32"/>
        </w:rPr>
        <w:t>建设达到更高水平，人民生活更加美好，人的全面发展、人民共同富裕取得更为明显的实质性进展。人民群众的获得感、幸福感、安全感明显增强。</w:t>
      </w:r>
    </w:p>
    <w:p w14:paraId="719760A1">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eastAsia="zh-CN"/>
          <w14:textFill>
            <w14:solidFill>
              <w14:schemeClr w14:val="tx1"/>
            </w14:solidFill>
          </w14:textFill>
        </w:rPr>
        <w:t>第四节</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楷体_GB2312" w:cs="Times New Roman"/>
          <w:color w:val="000000" w:themeColor="text1"/>
          <w:sz w:val="32"/>
          <w:szCs w:val="32"/>
          <w:lang w:eastAsia="zh-CN"/>
          <w14:textFill>
            <w14:solidFill>
              <w14:schemeClr w14:val="tx1"/>
            </w14:solidFill>
          </w14:textFill>
        </w:rPr>
        <w:t>十四五”时期发展总方针</w:t>
      </w:r>
    </w:p>
    <w:p w14:paraId="2005D032">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 w:hAnsi="仿宋" w:eastAsia="仿宋" w:cs="仿宋"/>
          <w:b w:val="0"/>
          <w:bCs w:val="0"/>
          <w:color w:val="000000"/>
          <w:kern w:val="2"/>
          <w:sz w:val="32"/>
          <w:szCs w:val="32"/>
          <w:lang w:val="en-US" w:eastAsia="zh-CN" w:bidi="ar-SA"/>
        </w:rPr>
      </w:pPr>
      <w:bookmarkStart w:id="0" w:name="_Toc50566446"/>
      <w:bookmarkStart w:id="1" w:name="_Toc54855953"/>
      <w:r>
        <w:rPr>
          <w:rFonts w:hint="eastAsia" w:ascii="仿宋" w:hAnsi="仿宋" w:eastAsia="仿宋" w:cs="仿宋"/>
          <w:b/>
          <w:bCs/>
          <w:color w:val="000000" w:themeColor="text1"/>
          <w:sz w:val="32"/>
          <w:szCs w:val="32"/>
          <w14:textFill>
            <w14:solidFill>
              <w14:schemeClr w14:val="tx1"/>
            </w14:solidFill>
          </w14:textFill>
        </w:rPr>
        <w:t>指导思想</w:t>
      </w:r>
      <w:r>
        <w:rPr>
          <w:rFonts w:hint="eastAsia" w:ascii="仿宋" w:hAnsi="仿宋" w:eastAsia="仿宋" w:cs="仿宋"/>
          <w:b/>
          <w:bCs/>
          <w:color w:val="000000" w:themeColor="text1"/>
          <w:sz w:val="32"/>
          <w:szCs w:val="32"/>
          <w:lang w:eastAsia="zh-CN"/>
          <w14:textFill>
            <w14:solidFill>
              <w14:schemeClr w14:val="tx1"/>
            </w14:solidFill>
          </w14:textFill>
        </w:rPr>
        <w:t>：</w:t>
      </w:r>
      <w:bookmarkStart w:id="2" w:name="_Toc54855952"/>
      <w:bookmarkStart w:id="3" w:name="_Toc55593729"/>
      <w:r>
        <w:rPr>
          <w:rFonts w:hint="eastAsia" w:ascii="仿宋" w:hAnsi="仿宋" w:eastAsia="仿宋" w:cs="仿宋"/>
          <w:b w:val="0"/>
          <w:bCs w:val="0"/>
          <w:color w:val="000000"/>
          <w:kern w:val="2"/>
          <w:sz w:val="32"/>
          <w:szCs w:val="32"/>
          <w:lang w:val="en-US" w:eastAsia="zh-CN" w:bidi="ar-SA"/>
        </w:rPr>
        <w:t>坚持以习近平新时代中国特色社会主义思想为指导，深入贯彻党的十九大和十九届二中、三中、四中、五中全会精神，统筹推进“五位一体”总体布局，协调推进“四个全面”战略布局，持续贯彻落实习近平总书记在深入推进东北振兴座谈会上的重要讲话和对我省重要讲话重要指示批示精神，坚持稳中求进工作总基调，立足新发展阶段，贯彻新发展理念，融入新发展格局，以推动高质量发展为主题，以深化供给侧结构性改革为主线，以改革创新为根本动力，以满足人民日益增长的美好生活需要为根本目的，统筹发展和安全，落实市委“四个厚植”“八个新成效”总要求，继续深化“一体两翼”发展战略，全力实施“六大工程”，努力实现“七个新跨越”，纵深推进全面从严治党，加快全面振兴全方位振兴，确保全面建设现代化新爱民开好局、起好步。</w:t>
      </w:r>
    </w:p>
    <w:p w14:paraId="5E6A7247">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基本原则</w:t>
      </w:r>
      <w:bookmarkEnd w:id="2"/>
      <w:bookmarkEnd w:id="3"/>
      <w:r>
        <w:rPr>
          <w:rFonts w:hint="eastAsia" w:ascii="仿宋" w:hAnsi="仿宋" w:eastAsia="仿宋" w:cs="仿宋"/>
          <w:b/>
          <w:bCs/>
          <w:color w:val="000000" w:themeColor="text1"/>
          <w:sz w:val="32"/>
          <w:szCs w:val="32"/>
          <w:lang w:eastAsia="zh-CN"/>
          <w14:textFill>
            <w14:solidFill>
              <w14:schemeClr w14:val="tx1"/>
            </w14:solidFill>
          </w14:textFill>
        </w:rPr>
        <w:t>：</w:t>
      </w:r>
      <w:r>
        <w:rPr>
          <w:rFonts w:ascii="Times New Roman" w:hAnsi="Times New Roman" w:eastAsia="仿宋_GB2312" w:cs="Times New Roman"/>
          <w:b/>
          <w:bCs/>
          <w:color w:val="000000" w:themeColor="text1"/>
          <w:sz w:val="32"/>
          <w:szCs w:val="32"/>
          <w14:textFill>
            <w14:solidFill>
              <w14:schemeClr w14:val="tx1"/>
            </w14:solidFill>
          </w14:textFill>
        </w:rPr>
        <w:t>坚持党的全面领导。</w:t>
      </w:r>
      <w:r>
        <w:rPr>
          <w:rFonts w:hint="eastAsia" w:ascii="Times New Roman" w:hAnsi="Times New Roman" w:eastAsia="仿宋_GB2312" w:cs="Times New Roman"/>
          <w:color w:val="000000" w:themeColor="text1"/>
          <w:sz w:val="32"/>
          <w:szCs w:val="32"/>
          <w14:textFill>
            <w14:solidFill>
              <w14:schemeClr w14:val="tx1"/>
            </w14:solidFill>
          </w14:textFill>
        </w:rPr>
        <w:t>坚持和完善党领导经济社会发展的体制机制，坚持和完善中国特色社会主义制度，不断提高贯彻新发展理念、构建新发展格局能力和水平，为实现高质量发展提供根本保证。</w:t>
      </w:r>
      <w:r>
        <w:rPr>
          <w:rFonts w:hint="eastAsia" w:ascii="Times New Roman" w:hAnsi="Times New Roman" w:eastAsia="仿宋_GB2312" w:cs="Times New Roman"/>
          <w:b/>
          <w:bCs/>
          <w:color w:val="000000" w:themeColor="text1"/>
          <w:sz w:val="32"/>
          <w:szCs w:val="32"/>
          <w14:textFill>
            <w14:solidFill>
              <w14:schemeClr w14:val="tx1"/>
            </w14:solidFill>
          </w14:textFill>
        </w:rPr>
        <w:t>坚持以人民为中心。</w:t>
      </w:r>
      <w:r>
        <w:rPr>
          <w:rFonts w:hint="eastAsia" w:ascii="Times New Roman" w:hAnsi="Times New Roman" w:eastAsia="仿宋_GB2312" w:cs="Times New Roman"/>
          <w:color w:val="000000" w:themeColor="text1"/>
          <w:sz w:val="32"/>
          <w:szCs w:val="32"/>
          <w14:textFill>
            <w14:solidFill>
              <w14:schemeClr w14:val="tx1"/>
            </w14:solidFill>
          </w14:textFill>
        </w:rPr>
        <w:t>坚持人民主体地位，坚持共同富裕方向，始终做到发展为了人民、发展依靠人民、发展成果由人民共享，维护人民根本利益，激发全体人民积极性、主动性、创造性，促进社会公平，增进民生福祉。</w:t>
      </w:r>
      <w:r>
        <w:rPr>
          <w:rFonts w:hint="eastAsia" w:ascii="Times New Roman" w:hAnsi="Times New Roman" w:eastAsia="仿宋_GB2312" w:cs="Times New Roman"/>
          <w:b/>
          <w:bCs/>
          <w:color w:val="000000" w:themeColor="text1"/>
          <w:sz w:val="32"/>
          <w:szCs w:val="32"/>
          <w14:textFill>
            <w14:solidFill>
              <w14:schemeClr w14:val="tx1"/>
            </w14:solidFill>
          </w14:textFill>
        </w:rPr>
        <w:t>坚持新发展理念。</w:t>
      </w:r>
      <w:r>
        <w:rPr>
          <w:rFonts w:hint="eastAsia" w:ascii="Times New Roman" w:hAnsi="Times New Roman" w:eastAsia="仿宋_GB2312" w:cs="Times New Roman"/>
          <w:color w:val="000000" w:themeColor="text1"/>
          <w:sz w:val="32"/>
          <w:szCs w:val="32"/>
          <w14:textFill>
            <w14:solidFill>
              <w14:schemeClr w14:val="tx1"/>
            </w14:solidFill>
          </w14:textFill>
        </w:rPr>
        <w:t>把新发展理念贯穿发展全过程和各领域，构建新发展格局，切实转变发展方式，推动质量变革、效率变革、动力变革，实现更高质量、更有效率、更加公平、更可持续、更为安全的发展。</w:t>
      </w:r>
      <w:r>
        <w:rPr>
          <w:rFonts w:hint="eastAsia" w:ascii="Times New Roman" w:hAnsi="Times New Roman" w:eastAsia="仿宋_GB2312" w:cs="Times New Roman"/>
          <w:b/>
          <w:bCs/>
          <w:color w:val="000000" w:themeColor="text1"/>
          <w:sz w:val="32"/>
          <w:szCs w:val="32"/>
          <w14:textFill>
            <w14:solidFill>
              <w14:schemeClr w14:val="tx1"/>
            </w14:solidFill>
          </w14:textFill>
        </w:rPr>
        <w:t>坚持深化改革开放。</w:t>
      </w:r>
      <w:r>
        <w:rPr>
          <w:rFonts w:hint="eastAsia" w:ascii="Times New Roman" w:hAnsi="Times New Roman" w:eastAsia="仿宋_GB2312" w:cs="Times New Roman"/>
          <w:color w:val="000000" w:themeColor="text1"/>
          <w:sz w:val="32"/>
          <w:szCs w:val="32"/>
          <w14:textFill>
            <w14:solidFill>
              <w14:schemeClr w14:val="tx1"/>
            </w14:solidFill>
          </w14:textFill>
        </w:rPr>
        <w:t>坚定不移推进改革，坚定不移扩大</w:t>
      </w:r>
      <w:r>
        <w:rPr>
          <w:rFonts w:ascii="Times New Roman" w:hAnsi="Times New Roman" w:eastAsia="仿宋_GB2312" w:cs="Times New Roman"/>
          <w:color w:val="000000" w:themeColor="text1"/>
          <w:sz w:val="32"/>
          <w:szCs w:val="32"/>
          <w14:textFill>
            <w14:solidFill>
              <w14:schemeClr w14:val="tx1"/>
            </w14:solidFill>
          </w14:textFill>
        </w:rPr>
        <w:t>开放</w:t>
      </w:r>
      <w:r>
        <w:rPr>
          <w:rFonts w:hint="eastAsia" w:ascii="Times New Roman" w:hAnsi="Times New Roman" w:eastAsia="仿宋_GB2312" w:cs="Times New Roman"/>
          <w:color w:val="000000" w:themeColor="text1"/>
          <w:sz w:val="32"/>
          <w:szCs w:val="32"/>
          <w14:textFill>
            <w14:solidFill>
              <w14:schemeClr w14:val="tx1"/>
            </w14:solidFill>
          </w14:textFill>
        </w:rPr>
        <w:t>，加强治理体系和治理能力现代化建设，破除制约高质量发展、高品质生活的体制机制障碍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b/>
          <w:bCs/>
          <w:color w:val="000000" w:themeColor="text1"/>
          <w:sz w:val="32"/>
          <w:szCs w:val="32"/>
          <w14:textFill>
            <w14:solidFill>
              <w14:schemeClr w14:val="tx1"/>
            </w14:solidFill>
          </w14:textFill>
        </w:rPr>
        <w:t>坚持系统观念。</w:t>
      </w:r>
      <w:r>
        <w:rPr>
          <w:rFonts w:ascii="Times New Roman" w:hAnsi="Times New Roman" w:eastAsia="仿宋_GB2312" w:cs="Times New Roman"/>
          <w:color w:val="000000" w:themeColor="text1"/>
          <w:sz w:val="32"/>
          <w:szCs w:val="32"/>
          <w14:textFill>
            <w14:solidFill>
              <w14:schemeClr w14:val="tx1"/>
            </w14:solidFill>
          </w14:textFill>
        </w:rPr>
        <w:t>加强前瞻性思考、全局性谋划、战略性布局、整体性推进，</w:t>
      </w:r>
      <w:r>
        <w:rPr>
          <w:rFonts w:hint="eastAsia" w:ascii="Times New Roman" w:hAnsi="Times New Roman" w:eastAsia="仿宋_GB2312" w:cs="Times New Roman"/>
          <w:color w:val="000000" w:themeColor="text1"/>
          <w:sz w:val="32"/>
          <w:szCs w:val="32"/>
          <w14:textFill>
            <w14:solidFill>
              <w14:schemeClr w14:val="tx1"/>
            </w14:solidFill>
          </w14:textFill>
        </w:rPr>
        <w:t>主动融入新发展格局</w:t>
      </w:r>
      <w:r>
        <w:rPr>
          <w:rFonts w:ascii="Times New Roman" w:hAnsi="Times New Roman" w:eastAsia="仿宋_GB2312" w:cs="Times New Roman"/>
          <w:color w:val="000000" w:themeColor="text1"/>
          <w:sz w:val="32"/>
          <w:szCs w:val="32"/>
          <w14:textFill>
            <w14:solidFill>
              <w14:schemeClr w14:val="tx1"/>
            </w14:solidFill>
          </w14:textFill>
        </w:rPr>
        <w:t>，办好发展安全两件大事，坚持着力固根基、扬优势、补短板、强弱项，注重防范化解重大风险挑战，实现发展质量、结构、规模、速度、效益、安全相统一。</w:t>
      </w:r>
    </w:p>
    <w:p w14:paraId="0A20BF6C">
      <w:pPr>
        <w:pStyle w:val="2"/>
        <w:keepNext w:val="0"/>
        <w:keepLines w:val="0"/>
        <w:pageBreakBefore w:val="0"/>
        <w:widowControl w:val="0"/>
        <w:shd w:val="clear"/>
        <w:kinsoku/>
        <w:wordWrap/>
        <w:overflowPunct/>
        <w:topLinePunct w:val="0"/>
        <w:autoSpaceDE/>
        <w:autoSpaceDN/>
        <w:bidi w:val="0"/>
        <w:adjustRightInd/>
        <w:snapToGrid/>
        <w:spacing w:line="600" w:lineRule="exact"/>
        <w:ind w:firstLine="643" w:firstLineChars="200"/>
        <w:jc w:val="both"/>
        <w:textAlignment w:val="auto"/>
        <w:rPr>
          <w:rFonts w:hint="eastAsia" w:eastAsia="仿宋" w:cs="Times New Roman"/>
          <w:b w:val="0"/>
          <w:bCs w:val="0"/>
          <w:color w:val="auto"/>
          <w:sz w:val="32"/>
          <w:szCs w:val="32"/>
          <w:highlight w:val="none"/>
          <w:lang w:val="en-US" w:eastAsia="zh-CN"/>
        </w:rPr>
      </w:pPr>
      <w:bookmarkStart w:id="4" w:name="_Toc55593730"/>
      <w:r>
        <w:rPr>
          <w:rFonts w:hint="eastAsia" w:ascii="仿宋" w:hAnsi="仿宋" w:eastAsia="仿宋" w:cs="仿宋"/>
          <w:b/>
          <w:bCs/>
          <w:color w:val="000000" w:themeColor="text1"/>
          <w:sz w:val="32"/>
          <w:szCs w:val="32"/>
          <w14:textFill>
            <w14:solidFill>
              <w14:schemeClr w14:val="tx1"/>
            </w14:solidFill>
          </w14:textFill>
        </w:rPr>
        <w:t>主要目标</w:t>
      </w:r>
      <w:bookmarkEnd w:id="0"/>
      <w:bookmarkEnd w:id="1"/>
      <w:bookmarkEnd w:id="4"/>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eastAsia="仿宋" w:cs="Times New Roman"/>
          <w:b w:val="0"/>
          <w:bCs w:val="0"/>
          <w:color w:val="auto"/>
          <w:sz w:val="32"/>
          <w:szCs w:val="32"/>
          <w:highlight w:val="none"/>
          <w:lang w:val="en-US" w:eastAsia="zh-CN"/>
        </w:rPr>
        <w:t>“十四五”时期的主要目标是：锚定二〇三五年基本实现社会主义现代化远景目标，确保到2025年，全面振兴全方位振兴取得显著成效。</w:t>
      </w:r>
      <w:r>
        <w:rPr>
          <w:rFonts w:hint="eastAsia" w:eastAsia="仿宋" w:cs="Times New Roman"/>
          <w:b/>
          <w:bCs/>
          <w:color w:val="auto"/>
          <w:sz w:val="32"/>
          <w:szCs w:val="32"/>
          <w:highlight w:val="none"/>
          <w:lang w:val="en-US" w:eastAsia="zh-CN"/>
        </w:rPr>
        <w:t>现代产业建设实现新跨越。</w:t>
      </w:r>
      <w:r>
        <w:rPr>
          <w:rFonts w:hint="eastAsia" w:eastAsia="仿宋" w:cs="Times New Roman"/>
          <w:b w:val="0"/>
          <w:bCs w:val="0"/>
          <w:color w:val="auto"/>
          <w:sz w:val="32"/>
          <w:szCs w:val="32"/>
          <w:highlight w:val="none"/>
          <w:lang w:val="en-US" w:eastAsia="zh-CN"/>
        </w:rPr>
        <w:t>做好“三篇大文章”，不断提升产业链、供应链现代化水平，增强经济竞争力、创新力及抗风险能力。</w:t>
      </w:r>
      <w:r>
        <w:rPr>
          <w:rFonts w:hint="eastAsia" w:eastAsia="仿宋" w:cs="Times New Roman"/>
          <w:b/>
          <w:bCs/>
          <w:color w:val="auto"/>
          <w:sz w:val="32"/>
          <w:szCs w:val="32"/>
          <w:highlight w:val="none"/>
          <w:lang w:val="en-US" w:eastAsia="zh-CN"/>
        </w:rPr>
        <w:t>产教融合实现新跨越。</w:t>
      </w:r>
      <w:r>
        <w:rPr>
          <w:rFonts w:hint="eastAsia" w:eastAsia="仿宋" w:cs="Times New Roman"/>
          <w:b w:val="0"/>
          <w:bCs w:val="0"/>
          <w:color w:val="auto"/>
          <w:sz w:val="32"/>
          <w:szCs w:val="32"/>
          <w:highlight w:val="none"/>
          <w:lang w:val="en-US" w:eastAsia="zh-CN"/>
        </w:rPr>
        <w:t>释放科研院所和高校集聚优势，激活创新内生动力，加快科技平台建设，推动科技成果转化，促进科技创新与工业、新文创及“互联网+”等深度融合，以科技创新引领高质量发展。</w:t>
      </w:r>
      <w:r>
        <w:rPr>
          <w:rFonts w:hint="eastAsia" w:eastAsia="仿宋" w:cs="Times New Roman"/>
          <w:b/>
          <w:bCs/>
          <w:color w:val="auto"/>
          <w:sz w:val="32"/>
          <w:szCs w:val="32"/>
          <w:highlight w:val="none"/>
          <w:lang w:val="en-US" w:eastAsia="zh-CN"/>
        </w:rPr>
        <w:t>深化改革开放实现新跨越。</w:t>
      </w:r>
      <w:r>
        <w:rPr>
          <w:rFonts w:hint="eastAsia" w:eastAsia="仿宋" w:cs="Times New Roman"/>
          <w:b w:val="0"/>
          <w:bCs w:val="0"/>
          <w:color w:val="auto"/>
          <w:sz w:val="32"/>
          <w:szCs w:val="32"/>
          <w:highlight w:val="none"/>
          <w:lang w:val="en-US" w:eastAsia="zh-CN"/>
        </w:rPr>
        <w:t>全面完成重点领域和关键环节改革，优化营商环境，市场主体充满活力；主动融入自贸区绥芬河片区、绥东试验区建设，加深与东莞对口合作，推动开放型经济有序提升。</w:t>
      </w:r>
      <w:r>
        <w:rPr>
          <w:rFonts w:hint="eastAsia" w:eastAsia="仿宋" w:cs="Times New Roman"/>
          <w:b/>
          <w:bCs/>
          <w:color w:val="auto"/>
          <w:sz w:val="32"/>
          <w:szCs w:val="32"/>
          <w:highlight w:val="none"/>
          <w:lang w:val="en-US" w:eastAsia="zh-CN"/>
        </w:rPr>
        <w:t>生态文明建设实现新跨越。</w:t>
      </w:r>
      <w:r>
        <w:rPr>
          <w:rFonts w:hint="eastAsia" w:eastAsia="仿宋" w:cs="Times New Roman"/>
          <w:b w:val="0"/>
          <w:bCs w:val="0"/>
          <w:color w:val="auto"/>
          <w:sz w:val="32"/>
          <w:szCs w:val="32"/>
          <w:highlight w:val="none"/>
          <w:lang w:val="en-US" w:eastAsia="zh-CN"/>
        </w:rPr>
        <w:t>生产生活方式向绿色转型，减少污染物排放总量，筑牢生态安全屏障，推动旅游、康养、食品、医药等绿色经济发展。</w:t>
      </w:r>
      <w:r>
        <w:rPr>
          <w:rFonts w:hint="eastAsia" w:eastAsia="仿宋" w:cs="Times New Roman"/>
          <w:b/>
          <w:bCs/>
          <w:color w:val="auto"/>
          <w:sz w:val="32"/>
          <w:szCs w:val="32"/>
          <w:highlight w:val="none"/>
          <w:lang w:val="en-US" w:eastAsia="zh-CN"/>
        </w:rPr>
        <w:t>社会文明实现新跨越。</w:t>
      </w:r>
      <w:r>
        <w:rPr>
          <w:rFonts w:hint="eastAsia" w:eastAsia="仿宋" w:cs="Times New Roman"/>
          <w:b w:val="0"/>
          <w:bCs w:val="0"/>
          <w:color w:val="auto"/>
          <w:sz w:val="32"/>
          <w:szCs w:val="32"/>
          <w:highlight w:val="none"/>
          <w:lang w:val="en-US" w:eastAsia="zh-CN"/>
        </w:rPr>
        <w:t>践行社会主义核心价值观，健全公共文化服务体系和文化产业体系，精神文化生活更加丰富。</w:t>
      </w:r>
      <w:r>
        <w:rPr>
          <w:rFonts w:hint="eastAsia" w:eastAsia="仿宋" w:cs="Times New Roman"/>
          <w:b/>
          <w:bCs/>
          <w:color w:val="auto"/>
          <w:sz w:val="32"/>
          <w:szCs w:val="32"/>
          <w:highlight w:val="none"/>
          <w:lang w:val="en-US" w:eastAsia="zh-CN"/>
        </w:rPr>
        <w:t>民生福祉改善实现新跨越。</w:t>
      </w:r>
      <w:r>
        <w:rPr>
          <w:rFonts w:hint="eastAsia" w:eastAsia="仿宋" w:cs="Times New Roman"/>
          <w:b w:val="0"/>
          <w:bCs w:val="0"/>
          <w:color w:val="auto"/>
          <w:sz w:val="32"/>
          <w:szCs w:val="32"/>
          <w:highlight w:val="none"/>
          <w:lang w:val="en-US" w:eastAsia="zh-CN"/>
        </w:rPr>
        <w:t>实现高质量就业，推进巩固拓展脱贫攻坚成果，居民收入增长和经济增长基本同步，基本公共服务体系更加健全。</w:t>
      </w:r>
      <w:r>
        <w:rPr>
          <w:rFonts w:hint="eastAsia" w:eastAsia="仿宋" w:cs="Times New Roman"/>
          <w:b/>
          <w:bCs/>
          <w:color w:val="auto"/>
          <w:sz w:val="32"/>
          <w:szCs w:val="32"/>
          <w:highlight w:val="none"/>
          <w:lang w:val="en-US" w:eastAsia="zh-CN"/>
        </w:rPr>
        <w:t>治理效能提升实现新跨越。</w:t>
      </w:r>
      <w:r>
        <w:rPr>
          <w:rFonts w:hint="eastAsia" w:eastAsia="仿宋" w:cs="Times New Roman"/>
          <w:b w:val="0"/>
          <w:bCs w:val="0"/>
          <w:color w:val="auto"/>
          <w:sz w:val="32"/>
          <w:szCs w:val="32"/>
          <w:highlight w:val="none"/>
          <w:lang w:val="en-US" w:eastAsia="zh-CN"/>
        </w:rPr>
        <w:t>推进社会主义民主法治建设，健全防范化解重大风险体制机制，增强突发公共事件应急能力和自然灾害防御水平，基层社会治理水平不断提升。</w:t>
      </w:r>
    </w:p>
    <w:tbl>
      <w:tblPr>
        <w:tblStyle w:val="13"/>
        <w:tblW w:w="8969" w:type="dxa"/>
        <w:tblInd w:w="91" w:type="dxa"/>
        <w:tblLayout w:type="autofit"/>
        <w:tblCellMar>
          <w:top w:w="0" w:type="dxa"/>
          <w:left w:w="108" w:type="dxa"/>
          <w:bottom w:w="0" w:type="dxa"/>
          <w:right w:w="108" w:type="dxa"/>
        </w:tblCellMar>
      </w:tblPr>
      <w:tblGrid>
        <w:gridCol w:w="726"/>
        <w:gridCol w:w="709"/>
        <w:gridCol w:w="2835"/>
        <w:gridCol w:w="850"/>
        <w:gridCol w:w="1134"/>
        <w:gridCol w:w="1134"/>
        <w:gridCol w:w="851"/>
        <w:gridCol w:w="730"/>
      </w:tblGrid>
      <w:tr w14:paraId="1EAF0C1C">
        <w:tblPrEx>
          <w:tblCellMar>
            <w:top w:w="0" w:type="dxa"/>
            <w:left w:w="108" w:type="dxa"/>
            <w:bottom w:w="0" w:type="dxa"/>
            <w:right w:w="108" w:type="dxa"/>
          </w:tblCellMar>
        </w:tblPrEx>
        <w:trPr>
          <w:trHeight w:val="560" w:hRule="atLeast"/>
        </w:trPr>
        <w:tc>
          <w:tcPr>
            <w:tcW w:w="8969"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1CBDD483">
            <w:pPr>
              <w:pStyle w:val="2"/>
              <w:ind w:left="0" w:leftChars="0" w:firstLine="0" w:firstLineChars="0"/>
              <w:jc w:val="center"/>
              <w:rPr>
                <w:rFonts w:hint="eastAsia" w:eastAsia="宋体" w:cs="Times New Roman"/>
                <w:b/>
                <w:bCs/>
                <w:color w:val="000000"/>
                <w:kern w:val="0"/>
                <w:sz w:val="21"/>
                <w:szCs w:val="21"/>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1</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 xml:space="preserve">1  </w:t>
            </w:r>
            <w:r>
              <w:rPr>
                <w:rFonts w:ascii="Times New Roman" w:hAnsi="Times New Roman" w:eastAsia="楷体_GB2312" w:cs="Times New Roman"/>
                <w:b/>
                <w:bCs/>
                <w:color w:val="000000" w:themeColor="text1"/>
                <w:sz w:val="28"/>
                <w:szCs w:val="28"/>
                <w14:textFill>
                  <w14:solidFill>
                    <w14:schemeClr w14:val="tx1"/>
                  </w14:solidFill>
                </w14:textFill>
              </w:rPr>
              <w:t>“十四五”时期经济社会发展主要指标</w:t>
            </w:r>
          </w:p>
        </w:tc>
      </w:tr>
      <w:tr w14:paraId="13779B50">
        <w:tblPrEx>
          <w:tblCellMar>
            <w:top w:w="0" w:type="dxa"/>
            <w:left w:w="108" w:type="dxa"/>
            <w:bottom w:w="0" w:type="dxa"/>
            <w:right w:w="108" w:type="dxa"/>
          </w:tblCellMar>
        </w:tblPrEx>
        <w:trPr>
          <w:trHeight w:val="339" w:hRule="atLeast"/>
        </w:trPr>
        <w:tc>
          <w:tcPr>
            <w:tcW w:w="72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C42D99">
            <w:pPr>
              <w:widowControl/>
              <w:snapToGrid w:val="0"/>
              <w:jc w:val="center"/>
              <w:rPr>
                <w:rFonts w:eastAsia="宋体" w:cs="Times New Roman"/>
                <w:b/>
                <w:bCs/>
                <w:color w:val="000000"/>
                <w:kern w:val="0"/>
                <w:sz w:val="21"/>
                <w:szCs w:val="21"/>
              </w:rPr>
            </w:pPr>
            <w:r>
              <w:rPr>
                <w:rFonts w:eastAsia="宋体" w:cs="Times New Roman"/>
                <w:b/>
                <w:bCs/>
                <w:color w:val="000000"/>
                <w:kern w:val="0"/>
                <w:sz w:val="21"/>
                <w:szCs w:val="21"/>
              </w:rPr>
              <w:t>类别</w:t>
            </w:r>
          </w:p>
        </w:tc>
        <w:tc>
          <w:tcPr>
            <w:tcW w:w="709" w:type="dxa"/>
            <w:tcBorders>
              <w:top w:val="single" w:color="auto" w:sz="4" w:space="0"/>
              <w:left w:val="nil"/>
              <w:bottom w:val="single" w:color="auto" w:sz="4" w:space="0"/>
              <w:right w:val="single" w:color="auto" w:sz="4" w:space="0"/>
            </w:tcBorders>
            <w:shd w:val="clear" w:color="auto" w:fill="auto"/>
            <w:noWrap/>
            <w:vAlign w:val="center"/>
          </w:tcPr>
          <w:p w14:paraId="330C7E85">
            <w:pPr>
              <w:widowControl/>
              <w:snapToGrid w:val="0"/>
              <w:jc w:val="center"/>
              <w:rPr>
                <w:rFonts w:eastAsia="宋体" w:cs="Times New Roman"/>
                <w:b/>
                <w:bCs/>
                <w:color w:val="000000"/>
                <w:kern w:val="0"/>
                <w:sz w:val="21"/>
                <w:szCs w:val="21"/>
              </w:rPr>
            </w:pPr>
            <w:r>
              <w:rPr>
                <w:rFonts w:eastAsia="宋体" w:cs="Times New Roman"/>
                <w:b/>
                <w:bCs/>
                <w:color w:val="000000"/>
                <w:kern w:val="0"/>
                <w:sz w:val="21"/>
                <w:szCs w:val="21"/>
              </w:rPr>
              <w:t>序号</w:t>
            </w:r>
          </w:p>
        </w:tc>
        <w:tc>
          <w:tcPr>
            <w:tcW w:w="2835" w:type="dxa"/>
            <w:tcBorders>
              <w:top w:val="single" w:color="auto" w:sz="4" w:space="0"/>
              <w:left w:val="nil"/>
              <w:bottom w:val="single" w:color="auto" w:sz="4" w:space="0"/>
              <w:right w:val="single" w:color="auto" w:sz="4" w:space="0"/>
            </w:tcBorders>
            <w:shd w:val="clear" w:color="auto" w:fill="auto"/>
            <w:noWrap/>
            <w:vAlign w:val="center"/>
          </w:tcPr>
          <w:p w14:paraId="3E2D4133">
            <w:pPr>
              <w:widowControl/>
              <w:snapToGrid w:val="0"/>
              <w:jc w:val="center"/>
              <w:rPr>
                <w:rFonts w:eastAsia="宋体" w:cs="Times New Roman"/>
                <w:b/>
                <w:bCs/>
                <w:color w:val="000000"/>
                <w:kern w:val="0"/>
                <w:sz w:val="21"/>
                <w:szCs w:val="21"/>
              </w:rPr>
            </w:pPr>
            <w:r>
              <w:rPr>
                <w:rFonts w:eastAsia="宋体" w:cs="Times New Roman"/>
                <w:b/>
                <w:bCs/>
                <w:color w:val="000000"/>
                <w:kern w:val="0"/>
                <w:sz w:val="21"/>
                <w:szCs w:val="21"/>
              </w:rPr>
              <w:t>指标名称</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43E23A1">
            <w:pPr>
              <w:widowControl/>
              <w:snapToGrid w:val="0"/>
              <w:jc w:val="center"/>
              <w:rPr>
                <w:rFonts w:eastAsia="宋体" w:cs="Times New Roman"/>
                <w:b/>
                <w:bCs/>
                <w:color w:val="000000"/>
                <w:kern w:val="0"/>
                <w:sz w:val="21"/>
                <w:szCs w:val="21"/>
              </w:rPr>
            </w:pPr>
            <w:r>
              <w:rPr>
                <w:rFonts w:eastAsia="宋体" w:cs="Times New Roman"/>
                <w:b/>
                <w:bCs/>
                <w:color w:val="000000"/>
                <w:kern w:val="0"/>
                <w:sz w:val="21"/>
                <w:szCs w:val="21"/>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759A76B6">
            <w:pPr>
              <w:widowControl/>
              <w:snapToGrid w:val="0"/>
              <w:jc w:val="center"/>
              <w:rPr>
                <w:rFonts w:eastAsia="宋体" w:cs="Times New Roman"/>
                <w:b/>
                <w:bCs/>
                <w:color w:val="000000"/>
                <w:kern w:val="0"/>
                <w:sz w:val="21"/>
                <w:szCs w:val="21"/>
              </w:rPr>
            </w:pPr>
            <w:r>
              <w:rPr>
                <w:rFonts w:hint="eastAsia" w:eastAsia="宋体" w:cs="Times New Roman"/>
                <w:b/>
                <w:bCs/>
                <w:color w:val="000000"/>
                <w:kern w:val="0"/>
                <w:sz w:val="21"/>
                <w:szCs w:val="21"/>
              </w:rPr>
              <w:t>2025年</w:t>
            </w:r>
          </w:p>
        </w:tc>
        <w:tc>
          <w:tcPr>
            <w:tcW w:w="1134" w:type="dxa"/>
            <w:tcBorders>
              <w:top w:val="single" w:color="auto" w:sz="4" w:space="0"/>
              <w:left w:val="nil"/>
              <w:bottom w:val="single" w:color="auto" w:sz="4" w:space="0"/>
              <w:right w:val="single" w:color="auto" w:sz="4" w:space="0"/>
            </w:tcBorders>
            <w:shd w:val="clear" w:color="auto" w:fill="auto"/>
            <w:noWrap/>
            <w:vAlign w:val="center"/>
          </w:tcPr>
          <w:p w14:paraId="75FAB291">
            <w:pPr>
              <w:widowControl/>
              <w:snapToGrid w:val="0"/>
              <w:jc w:val="center"/>
              <w:rPr>
                <w:rFonts w:eastAsia="宋体" w:cs="Times New Roman"/>
                <w:b/>
                <w:bCs/>
                <w:color w:val="000000"/>
                <w:kern w:val="0"/>
                <w:sz w:val="21"/>
                <w:szCs w:val="21"/>
              </w:rPr>
            </w:pPr>
            <w:r>
              <w:rPr>
                <w:rFonts w:hint="eastAsia" w:eastAsia="宋体" w:cs="Times New Roman"/>
                <w:b/>
                <w:bCs/>
                <w:color w:val="000000"/>
                <w:kern w:val="0"/>
                <w:sz w:val="21"/>
                <w:szCs w:val="21"/>
              </w:rPr>
              <w:t>年均增速</w:t>
            </w:r>
          </w:p>
        </w:tc>
        <w:tc>
          <w:tcPr>
            <w:tcW w:w="851" w:type="dxa"/>
            <w:tcBorders>
              <w:top w:val="single" w:color="auto" w:sz="4" w:space="0"/>
              <w:left w:val="nil"/>
              <w:bottom w:val="single" w:color="auto" w:sz="4" w:space="0"/>
              <w:right w:val="single" w:color="auto" w:sz="4" w:space="0"/>
            </w:tcBorders>
            <w:vAlign w:val="center"/>
          </w:tcPr>
          <w:p w14:paraId="5A9B0930">
            <w:pPr>
              <w:widowControl/>
              <w:snapToGrid w:val="0"/>
              <w:jc w:val="center"/>
              <w:rPr>
                <w:rFonts w:eastAsia="宋体" w:cs="Times New Roman"/>
                <w:b/>
                <w:bCs/>
                <w:color w:val="000000"/>
                <w:kern w:val="0"/>
                <w:sz w:val="21"/>
                <w:szCs w:val="21"/>
              </w:rPr>
            </w:pPr>
            <w:r>
              <w:rPr>
                <w:rFonts w:eastAsia="宋体" w:cs="Times New Roman"/>
                <w:b/>
                <w:bCs/>
                <w:color w:val="000000"/>
                <w:kern w:val="0"/>
                <w:sz w:val="21"/>
                <w:szCs w:val="21"/>
              </w:rPr>
              <w:t>属性</w:t>
            </w:r>
          </w:p>
        </w:tc>
        <w:tc>
          <w:tcPr>
            <w:tcW w:w="730" w:type="dxa"/>
            <w:tcBorders>
              <w:top w:val="single" w:color="auto" w:sz="4" w:space="0"/>
              <w:left w:val="nil"/>
              <w:bottom w:val="single" w:color="auto" w:sz="4" w:space="0"/>
              <w:right w:val="single" w:color="auto" w:sz="4" w:space="0"/>
            </w:tcBorders>
            <w:vAlign w:val="center"/>
          </w:tcPr>
          <w:p w14:paraId="1E8AEE21">
            <w:pPr>
              <w:widowControl/>
              <w:snapToGrid w:val="0"/>
              <w:jc w:val="center"/>
              <w:rPr>
                <w:rFonts w:eastAsia="宋体" w:cs="Times New Roman"/>
                <w:b/>
                <w:bCs/>
                <w:color w:val="000000"/>
                <w:kern w:val="0"/>
                <w:sz w:val="21"/>
                <w:szCs w:val="21"/>
              </w:rPr>
            </w:pPr>
            <w:r>
              <w:rPr>
                <w:rFonts w:hint="eastAsia" w:eastAsia="宋体" w:cs="Times New Roman"/>
                <w:b/>
                <w:bCs/>
                <w:color w:val="000000"/>
                <w:kern w:val="0"/>
                <w:sz w:val="21"/>
                <w:szCs w:val="21"/>
              </w:rPr>
              <w:t>备注</w:t>
            </w:r>
          </w:p>
        </w:tc>
      </w:tr>
      <w:tr w14:paraId="37037EB9">
        <w:tblPrEx>
          <w:tblCellMar>
            <w:top w:w="0" w:type="dxa"/>
            <w:left w:w="108" w:type="dxa"/>
            <w:bottom w:w="0" w:type="dxa"/>
            <w:right w:w="108" w:type="dxa"/>
          </w:tblCellMar>
        </w:tblPrEx>
        <w:trPr>
          <w:trHeight w:val="360" w:hRule="atLeast"/>
        </w:trPr>
        <w:tc>
          <w:tcPr>
            <w:tcW w:w="726" w:type="dxa"/>
            <w:vMerge w:val="restart"/>
            <w:tcBorders>
              <w:top w:val="nil"/>
              <w:left w:val="single" w:color="auto" w:sz="4" w:space="0"/>
              <w:right w:val="single" w:color="auto" w:sz="4" w:space="0"/>
            </w:tcBorders>
            <w:shd w:val="clear" w:color="auto" w:fill="auto"/>
            <w:vAlign w:val="center"/>
          </w:tcPr>
          <w:p w14:paraId="2790A675">
            <w:pPr>
              <w:widowControl/>
              <w:snapToGrid w:val="0"/>
              <w:jc w:val="center"/>
              <w:rPr>
                <w:rFonts w:eastAsia="宋体" w:cs="Times New Roman"/>
                <w:color w:val="000000"/>
                <w:kern w:val="0"/>
                <w:sz w:val="21"/>
                <w:szCs w:val="21"/>
              </w:rPr>
            </w:pPr>
            <w:r>
              <w:rPr>
                <w:rFonts w:eastAsia="宋体" w:cs="Times New Roman"/>
                <w:color w:val="000000"/>
                <w:kern w:val="0"/>
                <w:sz w:val="21"/>
                <w:szCs w:val="21"/>
              </w:rPr>
              <w:t>经济发展</w:t>
            </w:r>
          </w:p>
        </w:tc>
        <w:tc>
          <w:tcPr>
            <w:tcW w:w="709" w:type="dxa"/>
            <w:tcBorders>
              <w:top w:val="nil"/>
              <w:left w:val="nil"/>
              <w:bottom w:val="single" w:color="auto" w:sz="4" w:space="0"/>
              <w:right w:val="single" w:color="auto" w:sz="4" w:space="0"/>
            </w:tcBorders>
            <w:shd w:val="clear" w:color="auto" w:fill="auto"/>
            <w:vAlign w:val="center"/>
          </w:tcPr>
          <w:p w14:paraId="246321D7">
            <w:pPr>
              <w:widowControl/>
              <w:snapToGrid w:val="0"/>
              <w:jc w:val="center"/>
              <w:rPr>
                <w:rFonts w:eastAsia="宋体" w:cs="Times New Roman"/>
                <w:color w:val="auto"/>
                <w:kern w:val="0"/>
                <w:sz w:val="21"/>
                <w:szCs w:val="21"/>
              </w:rPr>
            </w:pPr>
            <w:r>
              <w:rPr>
                <w:rFonts w:eastAsia="宋体" w:cs="Times New Roman"/>
                <w:color w:val="auto"/>
                <w:kern w:val="0"/>
                <w:sz w:val="21"/>
                <w:szCs w:val="21"/>
              </w:rPr>
              <w:t xml:space="preserve">1 </w:t>
            </w:r>
          </w:p>
        </w:tc>
        <w:tc>
          <w:tcPr>
            <w:tcW w:w="2835" w:type="dxa"/>
            <w:tcBorders>
              <w:top w:val="nil"/>
              <w:left w:val="nil"/>
              <w:bottom w:val="single" w:color="auto" w:sz="4" w:space="0"/>
              <w:right w:val="single" w:color="auto" w:sz="4" w:space="0"/>
            </w:tcBorders>
            <w:shd w:val="clear" w:color="auto" w:fill="auto"/>
            <w:vAlign w:val="center"/>
          </w:tcPr>
          <w:p w14:paraId="2F50F27E">
            <w:pPr>
              <w:widowControl/>
              <w:snapToGrid w:val="0"/>
              <w:rPr>
                <w:rFonts w:eastAsia="宋体" w:cs="Times New Roman"/>
                <w:color w:val="auto"/>
                <w:kern w:val="0"/>
                <w:sz w:val="21"/>
                <w:szCs w:val="21"/>
              </w:rPr>
            </w:pPr>
            <w:r>
              <w:rPr>
                <w:rFonts w:eastAsia="宋体" w:cs="Times New Roman"/>
                <w:color w:val="auto"/>
                <w:kern w:val="0"/>
                <w:sz w:val="21"/>
                <w:szCs w:val="21"/>
              </w:rPr>
              <w:t>地区生产总值增长率</w:t>
            </w:r>
          </w:p>
        </w:tc>
        <w:tc>
          <w:tcPr>
            <w:tcW w:w="850" w:type="dxa"/>
            <w:tcBorders>
              <w:top w:val="nil"/>
              <w:left w:val="nil"/>
              <w:bottom w:val="single" w:color="auto" w:sz="4" w:space="0"/>
              <w:right w:val="single" w:color="auto" w:sz="4" w:space="0"/>
            </w:tcBorders>
            <w:shd w:val="clear" w:color="auto" w:fill="auto"/>
            <w:vAlign w:val="center"/>
          </w:tcPr>
          <w:p w14:paraId="065625DD">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343F60F3">
            <w:pPr>
              <w:widowControl/>
              <w:snapToGrid w:val="0"/>
              <w:jc w:val="center"/>
              <w:rPr>
                <w:rFonts w:eastAsia="宋体" w:cs="Times New Roman"/>
                <w:color w:val="auto"/>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220FA065">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5.5</w:t>
            </w:r>
          </w:p>
        </w:tc>
        <w:tc>
          <w:tcPr>
            <w:tcW w:w="851" w:type="dxa"/>
            <w:tcBorders>
              <w:top w:val="single" w:color="auto" w:sz="4" w:space="0"/>
              <w:left w:val="nil"/>
              <w:bottom w:val="single" w:color="auto" w:sz="4" w:space="0"/>
              <w:right w:val="single" w:color="auto" w:sz="4" w:space="0"/>
            </w:tcBorders>
            <w:vAlign w:val="center"/>
          </w:tcPr>
          <w:p w14:paraId="490E3DBB">
            <w:pPr>
              <w:widowControl/>
              <w:snapToGrid w:val="0"/>
              <w:jc w:val="center"/>
              <w:rPr>
                <w:rFonts w:eastAsia="宋体" w:cs="Times New Roman"/>
                <w:color w:val="000000"/>
                <w:kern w:val="0"/>
                <w:sz w:val="21"/>
                <w:szCs w:val="21"/>
              </w:rPr>
            </w:pPr>
            <w:r>
              <w:rPr>
                <w:rFonts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09C96992">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7C0F2F52">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3820E759">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73E5C7E">
            <w:pPr>
              <w:widowControl/>
              <w:snapToGrid w:val="0"/>
              <w:jc w:val="center"/>
              <w:rPr>
                <w:rFonts w:eastAsia="宋体" w:cs="Times New Roman"/>
                <w:color w:val="auto"/>
                <w:kern w:val="0"/>
                <w:sz w:val="21"/>
                <w:szCs w:val="21"/>
              </w:rPr>
            </w:pPr>
            <w:r>
              <w:rPr>
                <w:rFonts w:eastAsia="宋体" w:cs="Times New Roman"/>
                <w:color w:val="auto"/>
                <w:kern w:val="0"/>
                <w:sz w:val="21"/>
                <w:szCs w:val="21"/>
              </w:rPr>
              <w:t xml:space="preserve">2 </w:t>
            </w:r>
          </w:p>
        </w:tc>
        <w:tc>
          <w:tcPr>
            <w:tcW w:w="2835" w:type="dxa"/>
            <w:tcBorders>
              <w:top w:val="nil"/>
              <w:left w:val="nil"/>
              <w:bottom w:val="single" w:color="auto" w:sz="4" w:space="0"/>
              <w:right w:val="single" w:color="auto" w:sz="4" w:space="0"/>
            </w:tcBorders>
            <w:shd w:val="clear" w:color="auto" w:fill="auto"/>
            <w:vAlign w:val="center"/>
          </w:tcPr>
          <w:p w14:paraId="4D221A36">
            <w:pPr>
              <w:widowControl/>
              <w:snapToGrid w:val="0"/>
              <w:rPr>
                <w:rFonts w:eastAsia="宋体" w:cs="Times New Roman"/>
                <w:color w:val="auto"/>
                <w:kern w:val="0"/>
                <w:sz w:val="21"/>
                <w:szCs w:val="21"/>
              </w:rPr>
            </w:pPr>
            <w:r>
              <w:rPr>
                <w:rFonts w:hint="eastAsia" w:eastAsia="宋体" w:cs="Times New Roman"/>
                <w:color w:val="auto"/>
                <w:kern w:val="0"/>
                <w:sz w:val="21"/>
                <w:szCs w:val="21"/>
              </w:rPr>
              <w:t>固定资产投资增长率</w:t>
            </w:r>
          </w:p>
        </w:tc>
        <w:tc>
          <w:tcPr>
            <w:tcW w:w="850" w:type="dxa"/>
            <w:tcBorders>
              <w:top w:val="nil"/>
              <w:left w:val="nil"/>
              <w:bottom w:val="single" w:color="auto" w:sz="4" w:space="0"/>
              <w:right w:val="single" w:color="auto" w:sz="4" w:space="0"/>
            </w:tcBorders>
            <w:shd w:val="clear" w:color="auto" w:fill="auto"/>
            <w:vAlign w:val="center"/>
          </w:tcPr>
          <w:p w14:paraId="7E6FB621">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251319B7">
            <w:pPr>
              <w:widowControl/>
              <w:snapToGrid w:val="0"/>
              <w:jc w:val="center"/>
              <w:rPr>
                <w:rFonts w:eastAsia="宋体" w:cs="Times New Roman"/>
                <w:color w:val="auto"/>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636D4823">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6</w:t>
            </w:r>
          </w:p>
        </w:tc>
        <w:tc>
          <w:tcPr>
            <w:tcW w:w="851" w:type="dxa"/>
            <w:tcBorders>
              <w:top w:val="single" w:color="auto" w:sz="4" w:space="0"/>
              <w:left w:val="nil"/>
              <w:bottom w:val="single" w:color="auto" w:sz="4" w:space="0"/>
              <w:right w:val="single" w:color="auto" w:sz="4" w:space="0"/>
            </w:tcBorders>
            <w:vAlign w:val="center"/>
          </w:tcPr>
          <w:p w14:paraId="7F4EFCBD">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02246664">
            <w:pPr>
              <w:widowControl/>
              <w:snapToGrid w:val="0"/>
              <w:jc w:val="center"/>
              <w:rPr>
                <w:rFonts w:eastAsia="宋体" w:cs="Times New Roman"/>
                <w:color w:val="000000"/>
                <w:kern w:val="0"/>
                <w:sz w:val="21"/>
                <w:szCs w:val="21"/>
              </w:rPr>
            </w:pPr>
          </w:p>
        </w:tc>
      </w:tr>
      <w:tr w14:paraId="233AEF9C">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52CBD702">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72AFEBB">
            <w:pPr>
              <w:widowControl/>
              <w:snapToGrid w:val="0"/>
              <w:jc w:val="center"/>
              <w:rPr>
                <w:rFonts w:eastAsia="宋体" w:cs="Times New Roman"/>
                <w:color w:val="auto"/>
                <w:kern w:val="0"/>
                <w:sz w:val="21"/>
                <w:szCs w:val="21"/>
              </w:rPr>
            </w:pPr>
            <w:r>
              <w:rPr>
                <w:rFonts w:eastAsia="宋体" w:cs="Times New Roman"/>
                <w:color w:val="auto"/>
                <w:kern w:val="0"/>
                <w:sz w:val="21"/>
                <w:szCs w:val="21"/>
              </w:rPr>
              <w:t xml:space="preserve">3 </w:t>
            </w:r>
          </w:p>
        </w:tc>
        <w:tc>
          <w:tcPr>
            <w:tcW w:w="2835" w:type="dxa"/>
            <w:tcBorders>
              <w:top w:val="nil"/>
              <w:left w:val="nil"/>
              <w:bottom w:val="single" w:color="auto" w:sz="4" w:space="0"/>
              <w:right w:val="single" w:color="auto" w:sz="4" w:space="0"/>
            </w:tcBorders>
            <w:shd w:val="clear" w:color="auto" w:fill="auto"/>
            <w:vAlign w:val="center"/>
          </w:tcPr>
          <w:p w14:paraId="237627AF">
            <w:pPr>
              <w:widowControl/>
              <w:snapToGrid w:val="0"/>
              <w:rPr>
                <w:rFonts w:eastAsia="宋体" w:cs="Times New Roman"/>
                <w:color w:val="auto"/>
                <w:kern w:val="0"/>
                <w:sz w:val="21"/>
                <w:szCs w:val="21"/>
              </w:rPr>
            </w:pPr>
            <w:r>
              <w:rPr>
                <w:rFonts w:hint="eastAsia" w:eastAsia="宋体" w:cs="Times New Roman"/>
                <w:color w:val="auto"/>
                <w:kern w:val="0"/>
                <w:sz w:val="21"/>
                <w:szCs w:val="21"/>
              </w:rPr>
              <w:t>工业增加值占</w:t>
            </w:r>
            <w:r>
              <w:rPr>
                <w:rFonts w:eastAsia="宋体" w:cs="Times New Roman"/>
                <w:color w:val="auto"/>
                <w:kern w:val="0"/>
                <w:sz w:val="21"/>
                <w:szCs w:val="21"/>
              </w:rPr>
              <w:t>GDP</w:t>
            </w:r>
            <w:r>
              <w:rPr>
                <w:rFonts w:hint="eastAsia" w:eastAsia="宋体" w:cs="Times New Roman"/>
                <w:color w:val="auto"/>
                <w:kern w:val="0"/>
                <w:sz w:val="21"/>
                <w:szCs w:val="21"/>
              </w:rPr>
              <w:t>比重</w:t>
            </w:r>
          </w:p>
        </w:tc>
        <w:tc>
          <w:tcPr>
            <w:tcW w:w="850" w:type="dxa"/>
            <w:tcBorders>
              <w:top w:val="nil"/>
              <w:left w:val="nil"/>
              <w:bottom w:val="single" w:color="auto" w:sz="4" w:space="0"/>
              <w:right w:val="single" w:color="auto" w:sz="4" w:space="0"/>
            </w:tcBorders>
            <w:shd w:val="clear" w:color="auto" w:fill="auto"/>
            <w:vAlign w:val="center"/>
          </w:tcPr>
          <w:p w14:paraId="4F8B243D">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3403942D">
            <w:pPr>
              <w:widowControl/>
              <w:snapToGrid w:val="0"/>
              <w:jc w:val="center"/>
              <w:rPr>
                <w:rFonts w:hint="default" w:eastAsia="宋体" w:cs="Times New Roman"/>
                <w:color w:val="auto"/>
                <w:kern w:val="0"/>
                <w:sz w:val="21"/>
                <w:szCs w:val="21"/>
                <w:lang w:val="en-US" w:eastAsia="zh-CN"/>
              </w:rPr>
            </w:pPr>
            <w:r>
              <w:rPr>
                <w:rFonts w:hint="eastAsia" w:eastAsia="宋体" w:cs="Times New Roman"/>
                <w:color w:val="auto"/>
                <w:kern w:val="0"/>
                <w:sz w:val="21"/>
                <w:szCs w:val="21"/>
                <w:lang w:val="en-US" w:eastAsia="zh-CN"/>
              </w:rPr>
              <w:t>26</w:t>
            </w:r>
          </w:p>
        </w:tc>
        <w:tc>
          <w:tcPr>
            <w:tcW w:w="1134" w:type="dxa"/>
            <w:tcBorders>
              <w:top w:val="nil"/>
              <w:left w:val="nil"/>
              <w:bottom w:val="single" w:color="auto" w:sz="4" w:space="0"/>
              <w:right w:val="single" w:color="auto" w:sz="4" w:space="0"/>
            </w:tcBorders>
            <w:shd w:val="clear" w:color="auto" w:fill="auto"/>
            <w:vAlign w:val="center"/>
          </w:tcPr>
          <w:p w14:paraId="07B5C7BE">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0F723577">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0A00F54C">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14864DE8">
        <w:tblPrEx>
          <w:tblCellMar>
            <w:top w:w="0" w:type="dxa"/>
            <w:left w:w="108" w:type="dxa"/>
            <w:bottom w:w="0" w:type="dxa"/>
            <w:right w:w="108" w:type="dxa"/>
          </w:tblCellMar>
        </w:tblPrEx>
        <w:trPr>
          <w:trHeight w:val="570" w:hRule="atLeast"/>
        </w:trPr>
        <w:tc>
          <w:tcPr>
            <w:tcW w:w="726" w:type="dxa"/>
            <w:vMerge w:val="continue"/>
            <w:tcBorders>
              <w:left w:val="single" w:color="auto" w:sz="4" w:space="0"/>
              <w:right w:val="single" w:color="auto" w:sz="4" w:space="0"/>
            </w:tcBorders>
            <w:vAlign w:val="center"/>
          </w:tcPr>
          <w:p w14:paraId="7FADBCD6">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6B8C6D1F">
            <w:pPr>
              <w:widowControl/>
              <w:snapToGrid w:val="0"/>
              <w:jc w:val="center"/>
              <w:rPr>
                <w:rFonts w:eastAsia="宋体" w:cs="Times New Roman"/>
                <w:color w:val="auto"/>
                <w:kern w:val="0"/>
                <w:sz w:val="21"/>
                <w:szCs w:val="21"/>
              </w:rPr>
            </w:pPr>
            <w:r>
              <w:rPr>
                <w:rFonts w:eastAsia="宋体" w:cs="Times New Roman"/>
                <w:color w:val="auto"/>
                <w:kern w:val="0"/>
                <w:sz w:val="21"/>
                <w:szCs w:val="21"/>
              </w:rPr>
              <w:t xml:space="preserve">4 </w:t>
            </w:r>
          </w:p>
        </w:tc>
        <w:tc>
          <w:tcPr>
            <w:tcW w:w="2835" w:type="dxa"/>
            <w:tcBorders>
              <w:top w:val="nil"/>
              <w:left w:val="nil"/>
              <w:bottom w:val="single" w:color="auto" w:sz="4" w:space="0"/>
              <w:right w:val="single" w:color="auto" w:sz="4" w:space="0"/>
            </w:tcBorders>
            <w:shd w:val="clear" w:color="auto" w:fill="auto"/>
            <w:vAlign w:val="center"/>
          </w:tcPr>
          <w:p w14:paraId="59C14B4A">
            <w:pPr>
              <w:widowControl/>
              <w:snapToGrid w:val="0"/>
              <w:rPr>
                <w:rFonts w:eastAsia="宋体" w:cs="Times New Roman"/>
                <w:color w:val="auto"/>
                <w:kern w:val="0"/>
                <w:sz w:val="21"/>
                <w:szCs w:val="21"/>
              </w:rPr>
            </w:pPr>
            <w:r>
              <w:rPr>
                <w:rFonts w:hint="eastAsia" w:eastAsia="宋体" w:cs="Times New Roman"/>
                <w:color w:val="auto"/>
                <w:kern w:val="0"/>
                <w:sz w:val="21"/>
                <w:szCs w:val="21"/>
              </w:rPr>
              <w:t>非公有制经济增加值占地区生产总值比例</w:t>
            </w:r>
          </w:p>
        </w:tc>
        <w:tc>
          <w:tcPr>
            <w:tcW w:w="850" w:type="dxa"/>
            <w:tcBorders>
              <w:top w:val="nil"/>
              <w:left w:val="nil"/>
              <w:bottom w:val="single" w:color="auto" w:sz="4" w:space="0"/>
              <w:right w:val="single" w:color="auto" w:sz="4" w:space="0"/>
            </w:tcBorders>
            <w:shd w:val="clear" w:color="auto" w:fill="auto"/>
            <w:vAlign w:val="center"/>
          </w:tcPr>
          <w:p w14:paraId="1598C351">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4D7CF74D">
            <w:pPr>
              <w:widowControl/>
              <w:snapToGrid w:val="0"/>
              <w:jc w:val="center"/>
              <w:rPr>
                <w:rFonts w:hint="default" w:eastAsia="宋体" w:cs="Times New Roman"/>
                <w:color w:val="auto"/>
                <w:kern w:val="0"/>
                <w:sz w:val="21"/>
                <w:szCs w:val="21"/>
                <w:lang w:val="en-US" w:eastAsia="zh-CN"/>
              </w:rPr>
            </w:pPr>
            <w:r>
              <w:rPr>
                <w:rFonts w:hint="eastAsia" w:eastAsia="宋体" w:cs="Times New Roman"/>
                <w:color w:val="auto"/>
                <w:kern w:val="0"/>
                <w:sz w:val="21"/>
                <w:szCs w:val="21"/>
              </w:rPr>
              <w:t>＞</w:t>
            </w:r>
            <w:r>
              <w:rPr>
                <w:rFonts w:hint="eastAsia" w:eastAsia="宋体" w:cs="Times New Roman"/>
                <w:color w:val="auto"/>
                <w:kern w:val="0"/>
                <w:sz w:val="21"/>
                <w:szCs w:val="21"/>
                <w:lang w:val="en-US" w:eastAsia="zh-CN"/>
              </w:rPr>
              <w:t>67</w:t>
            </w:r>
          </w:p>
        </w:tc>
        <w:tc>
          <w:tcPr>
            <w:tcW w:w="1134" w:type="dxa"/>
            <w:tcBorders>
              <w:top w:val="nil"/>
              <w:left w:val="nil"/>
              <w:bottom w:val="single" w:color="auto" w:sz="4" w:space="0"/>
              <w:right w:val="single" w:color="auto" w:sz="4" w:space="0"/>
            </w:tcBorders>
            <w:shd w:val="clear" w:color="auto" w:fill="auto"/>
            <w:vAlign w:val="center"/>
          </w:tcPr>
          <w:p w14:paraId="772578FD">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02AF7722">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1F155177">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72405BEA">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2E680D85">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B1BA476">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5</w:t>
            </w:r>
          </w:p>
        </w:tc>
        <w:tc>
          <w:tcPr>
            <w:tcW w:w="2835" w:type="dxa"/>
            <w:tcBorders>
              <w:top w:val="nil"/>
              <w:left w:val="nil"/>
              <w:bottom w:val="single" w:color="auto" w:sz="4" w:space="0"/>
              <w:right w:val="single" w:color="auto" w:sz="4" w:space="0"/>
            </w:tcBorders>
            <w:shd w:val="clear" w:color="auto" w:fill="auto"/>
            <w:vAlign w:val="center"/>
          </w:tcPr>
          <w:p w14:paraId="66E6733D">
            <w:pPr>
              <w:widowControl/>
              <w:snapToGrid w:val="0"/>
              <w:rPr>
                <w:rFonts w:eastAsia="宋体" w:cs="Times New Roman"/>
                <w:color w:val="auto"/>
                <w:kern w:val="0"/>
                <w:sz w:val="21"/>
                <w:szCs w:val="21"/>
              </w:rPr>
            </w:pPr>
            <w:r>
              <w:rPr>
                <w:rFonts w:hint="eastAsia" w:eastAsia="宋体" w:cs="Times New Roman"/>
                <w:color w:val="auto"/>
                <w:kern w:val="0"/>
                <w:sz w:val="21"/>
                <w:szCs w:val="21"/>
              </w:rPr>
              <w:t>规模以上工业增加值增长率</w:t>
            </w:r>
          </w:p>
        </w:tc>
        <w:tc>
          <w:tcPr>
            <w:tcW w:w="850" w:type="dxa"/>
            <w:tcBorders>
              <w:top w:val="nil"/>
              <w:left w:val="nil"/>
              <w:bottom w:val="single" w:color="auto" w:sz="4" w:space="0"/>
              <w:right w:val="single" w:color="auto" w:sz="4" w:space="0"/>
            </w:tcBorders>
            <w:shd w:val="clear" w:color="auto" w:fill="auto"/>
            <w:vAlign w:val="center"/>
          </w:tcPr>
          <w:p w14:paraId="6B670155">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12E1C9AE">
            <w:pPr>
              <w:widowControl/>
              <w:snapToGrid w:val="0"/>
              <w:jc w:val="center"/>
              <w:rPr>
                <w:rFonts w:eastAsia="宋体" w:cs="Times New Roman"/>
                <w:color w:val="auto"/>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1DE420D8">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5.5</w:t>
            </w:r>
          </w:p>
        </w:tc>
        <w:tc>
          <w:tcPr>
            <w:tcW w:w="851" w:type="dxa"/>
            <w:tcBorders>
              <w:top w:val="single" w:color="auto" w:sz="4" w:space="0"/>
              <w:left w:val="nil"/>
              <w:bottom w:val="single" w:color="auto" w:sz="4" w:space="0"/>
              <w:right w:val="single" w:color="auto" w:sz="4" w:space="0"/>
            </w:tcBorders>
            <w:vAlign w:val="center"/>
          </w:tcPr>
          <w:p w14:paraId="6E748F36">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2A29D00F">
            <w:pPr>
              <w:widowControl/>
              <w:snapToGrid w:val="0"/>
              <w:jc w:val="center"/>
              <w:rPr>
                <w:rFonts w:eastAsia="宋体" w:cs="Times New Roman"/>
                <w:color w:val="000000"/>
                <w:kern w:val="0"/>
                <w:sz w:val="21"/>
                <w:szCs w:val="21"/>
              </w:rPr>
            </w:pPr>
          </w:p>
        </w:tc>
      </w:tr>
      <w:tr w14:paraId="5B077B42">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5DD573CB">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1328DDBE">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6</w:t>
            </w:r>
          </w:p>
        </w:tc>
        <w:tc>
          <w:tcPr>
            <w:tcW w:w="2835" w:type="dxa"/>
            <w:tcBorders>
              <w:top w:val="nil"/>
              <w:left w:val="nil"/>
              <w:bottom w:val="single" w:color="auto" w:sz="4" w:space="0"/>
              <w:right w:val="single" w:color="auto" w:sz="4" w:space="0"/>
            </w:tcBorders>
            <w:shd w:val="clear" w:color="auto" w:fill="auto"/>
            <w:vAlign w:val="center"/>
          </w:tcPr>
          <w:p w14:paraId="3C3F8180">
            <w:pPr>
              <w:widowControl/>
              <w:snapToGrid w:val="0"/>
              <w:rPr>
                <w:rFonts w:eastAsia="宋体" w:cs="Times New Roman"/>
                <w:color w:val="auto"/>
                <w:kern w:val="0"/>
                <w:sz w:val="21"/>
                <w:szCs w:val="21"/>
              </w:rPr>
            </w:pPr>
            <w:r>
              <w:rPr>
                <w:rFonts w:hint="eastAsia" w:eastAsia="宋体" w:cs="Times New Roman"/>
                <w:color w:val="auto"/>
                <w:kern w:val="0"/>
                <w:sz w:val="21"/>
                <w:szCs w:val="21"/>
              </w:rPr>
              <w:t>规模以上工业企业数</w:t>
            </w:r>
          </w:p>
        </w:tc>
        <w:tc>
          <w:tcPr>
            <w:tcW w:w="850" w:type="dxa"/>
            <w:tcBorders>
              <w:top w:val="nil"/>
              <w:left w:val="nil"/>
              <w:bottom w:val="single" w:color="auto" w:sz="4" w:space="0"/>
              <w:right w:val="single" w:color="auto" w:sz="4" w:space="0"/>
            </w:tcBorders>
            <w:shd w:val="clear" w:color="auto" w:fill="auto"/>
            <w:vAlign w:val="center"/>
          </w:tcPr>
          <w:p w14:paraId="5C6BD013">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户</w:t>
            </w:r>
          </w:p>
        </w:tc>
        <w:tc>
          <w:tcPr>
            <w:tcW w:w="1134" w:type="dxa"/>
            <w:tcBorders>
              <w:top w:val="nil"/>
              <w:left w:val="nil"/>
              <w:bottom w:val="single" w:color="auto" w:sz="4" w:space="0"/>
              <w:right w:val="single" w:color="auto" w:sz="4" w:space="0"/>
            </w:tcBorders>
            <w:shd w:val="clear" w:color="auto" w:fill="auto"/>
            <w:vAlign w:val="center"/>
          </w:tcPr>
          <w:p w14:paraId="5092F3FF">
            <w:pPr>
              <w:widowControl/>
              <w:snapToGrid w:val="0"/>
              <w:jc w:val="center"/>
              <w:rPr>
                <w:rFonts w:hint="default" w:eastAsia="宋体" w:cs="Times New Roman"/>
                <w:color w:val="auto"/>
                <w:kern w:val="0"/>
                <w:sz w:val="21"/>
                <w:szCs w:val="21"/>
                <w:lang w:val="en-US" w:eastAsia="zh-CN"/>
              </w:rPr>
            </w:pPr>
            <w:r>
              <w:rPr>
                <w:rFonts w:hint="eastAsia" w:eastAsia="宋体" w:cs="Times New Roman"/>
                <w:color w:val="auto"/>
                <w:kern w:val="0"/>
                <w:sz w:val="21"/>
                <w:szCs w:val="21"/>
                <w:lang w:val="en-US" w:eastAsia="zh-CN"/>
              </w:rPr>
              <w:t>30</w:t>
            </w:r>
          </w:p>
        </w:tc>
        <w:tc>
          <w:tcPr>
            <w:tcW w:w="1134" w:type="dxa"/>
            <w:tcBorders>
              <w:top w:val="nil"/>
              <w:left w:val="nil"/>
              <w:bottom w:val="single" w:color="auto" w:sz="4" w:space="0"/>
              <w:right w:val="single" w:color="auto" w:sz="4" w:space="0"/>
            </w:tcBorders>
            <w:shd w:val="clear" w:color="auto" w:fill="auto"/>
            <w:vAlign w:val="center"/>
          </w:tcPr>
          <w:p w14:paraId="107AC40C">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512D83E9">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18670191">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26347ED0">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221968EF">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F7A06AB">
            <w:pPr>
              <w:widowControl/>
              <w:snapToGrid w:val="0"/>
              <w:jc w:val="center"/>
              <w:rPr>
                <w:rFonts w:hint="eastAsia" w:eastAsia="宋体" w:cs="Times New Roman"/>
                <w:color w:val="auto"/>
                <w:kern w:val="0"/>
                <w:sz w:val="21"/>
                <w:szCs w:val="21"/>
                <w:lang w:eastAsia="zh-CN"/>
              </w:rPr>
            </w:pPr>
            <w:r>
              <w:rPr>
                <w:rFonts w:hint="eastAsia" w:eastAsia="宋体" w:cs="Times New Roman"/>
                <w:color w:val="auto"/>
                <w:kern w:val="0"/>
                <w:sz w:val="21"/>
                <w:szCs w:val="21"/>
                <w:lang w:val="en-US" w:eastAsia="zh-CN"/>
              </w:rPr>
              <w:t>7</w:t>
            </w:r>
          </w:p>
        </w:tc>
        <w:tc>
          <w:tcPr>
            <w:tcW w:w="2835" w:type="dxa"/>
            <w:tcBorders>
              <w:top w:val="nil"/>
              <w:left w:val="nil"/>
              <w:bottom w:val="single" w:color="auto" w:sz="4" w:space="0"/>
              <w:right w:val="single" w:color="auto" w:sz="4" w:space="0"/>
            </w:tcBorders>
            <w:shd w:val="clear" w:color="auto" w:fill="auto"/>
            <w:vAlign w:val="center"/>
          </w:tcPr>
          <w:p w14:paraId="5FCC9942">
            <w:pPr>
              <w:widowControl/>
              <w:snapToGrid w:val="0"/>
              <w:rPr>
                <w:rFonts w:eastAsia="宋体" w:cs="Times New Roman"/>
                <w:color w:val="auto"/>
                <w:kern w:val="0"/>
                <w:sz w:val="21"/>
                <w:szCs w:val="21"/>
              </w:rPr>
            </w:pPr>
            <w:r>
              <w:rPr>
                <w:rFonts w:hint="eastAsia" w:eastAsia="宋体" w:cs="Times New Roman"/>
                <w:color w:val="auto"/>
                <w:kern w:val="0"/>
                <w:sz w:val="21"/>
                <w:szCs w:val="21"/>
              </w:rPr>
              <w:t>一般公共预算收入增长率</w:t>
            </w:r>
          </w:p>
        </w:tc>
        <w:tc>
          <w:tcPr>
            <w:tcW w:w="850" w:type="dxa"/>
            <w:tcBorders>
              <w:top w:val="nil"/>
              <w:left w:val="nil"/>
              <w:bottom w:val="single" w:color="auto" w:sz="4" w:space="0"/>
              <w:right w:val="single" w:color="auto" w:sz="4" w:space="0"/>
            </w:tcBorders>
            <w:shd w:val="clear" w:color="auto" w:fill="auto"/>
            <w:vAlign w:val="center"/>
          </w:tcPr>
          <w:p w14:paraId="5FCAA807">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3AF9764D">
            <w:pPr>
              <w:widowControl/>
              <w:snapToGrid w:val="0"/>
              <w:jc w:val="center"/>
              <w:rPr>
                <w:rFonts w:hint="default" w:eastAsia="宋体" w:cs="Times New Roman"/>
                <w:color w:val="auto"/>
                <w:kern w:val="0"/>
                <w:sz w:val="21"/>
                <w:szCs w:val="21"/>
                <w:lang w:val="en-US" w:eastAsia="zh-CN"/>
              </w:rPr>
            </w:pPr>
          </w:p>
        </w:tc>
        <w:tc>
          <w:tcPr>
            <w:tcW w:w="1134" w:type="dxa"/>
            <w:tcBorders>
              <w:top w:val="nil"/>
              <w:left w:val="nil"/>
              <w:bottom w:val="single" w:color="auto" w:sz="4" w:space="0"/>
              <w:right w:val="single" w:color="auto" w:sz="4" w:space="0"/>
            </w:tcBorders>
            <w:shd w:val="clear" w:color="auto" w:fill="auto"/>
            <w:vAlign w:val="center"/>
          </w:tcPr>
          <w:p w14:paraId="3E83AA39">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5</w:t>
            </w:r>
          </w:p>
        </w:tc>
        <w:tc>
          <w:tcPr>
            <w:tcW w:w="851" w:type="dxa"/>
            <w:tcBorders>
              <w:top w:val="single" w:color="auto" w:sz="4" w:space="0"/>
              <w:left w:val="nil"/>
              <w:bottom w:val="single" w:color="auto" w:sz="4" w:space="0"/>
              <w:right w:val="single" w:color="auto" w:sz="4" w:space="0"/>
            </w:tcBorders>
            <w:vAlign w:val="center"/>
          </w:tcPr>
          <w:p w14:paraId="22A1C62D">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3274B162">
            <w:pPr>
              <w:widowControl/>
              <w:snapToGrid w:val="0"/>
              <w:jc w:val="center"/>
              <w:rPr>
                <w:rFonts w:eastAsia="宋体" w:cs="Times New Roman"/>
                <w:color w:val="000000"/>
                <w:kern w:val="0"/>
                <w:sz w:val="21"/>
                <w:szCs w:val="21"/>
              </w:rPr>
            </w:pPr>
          </w:p>
        </w:tc>
      </w:tr>
      <w:tr w14:paraId="4DEE312E">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335CEB10">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64D9F5A">
            <w:pPr>
              <w:widowControl/>
              <w:snapToGrid w:val="0"/>
              <w:jc w:val="center"/>
              <w:rPr>
                <w:rFonts w:hint="eastAsia" w:eastAsia="宋体" w:cs="Times New Roman"/>
                <w:color w:val="auto"/>
                <w:kern w:val="0"/>
                <w:sz w:val="21"/>
                <w:szCs w:val="21"/>
                <w:lang w:eastAsia="zh-CN"/>
              </w:rPr>
            </w:pPr>
            <w:r>
              <w:rPr>
                <w:rFonts w:hint="eastAsia" w:eastAsia="宋体" w:cs="Times New Roman"/>
                <w:color w:val="auto"/>
                <w:kern w:val="0"/>
                <w:sz w:val="21"/>
                <w:szCs w:val="21"/>
                <w:lang w:val="en-US" w:eastAsia="zh-CN"/>
              </w:rPr>
              <w:t>8</w:t>
            </w:r>
          </w:p>
        </w:tc>
        <w:tc>
          <w:tcPr>
            <w:tcW w:w="2835" w:type="dxa"/>
            <w:tcBorders>
              <w:top w:val="nil"/>
              <w:left w:val="nil"/>
              <w:bottom w:val="single" w:color="auto" w:sz="4" w:space="0"/>
              <w:right w:val="single" w:color="auto" w:sz="4" w:space="0"/>
            </w:tcBorders>
            <w:shd w:val="clear" w:color="auto" w:fill="auto"/>
            <w:vAlign w:val="center"/>
          </w:tcPr>
          <w:p w14:paraId="3610B0CB">
            <w:pPr>
              <w:widowControl/>
              <w:snapToGrid w:val="0"/>
              <w:rPr>
                <w:rFonts w:eastAsia="宋体" w:cs="Times New Roman"/>
                <w:color w:val="auto"/>
                <w:kern w:val="0"/>
                <w:sz w:val="21"/>
                <w:szCs w:val="21"/>
              </w:rPr>
            </w:pPr>
            <w:r>
              <w:rPr>
                <w:rFonts w:hint="eastAsia" w:eastAsia="宋体" w:cs="Times New Roman"/>
                <w:color w:val="auto"/>
                <w:kern w:val="0"/>
                <w:sz w:val="21"/>
                <w:szCs w:val="21"/>
              </w:rPr>
              <w:t>社会消费品零售总额增长率</w:t>
            </w:r>
          </w:p>
        </w:tc>
        <w:tc>
          <w:tcPr>
            <w:tcW w:w="850" w:type="dxa"/>
            <w:tcBorders>
              <w:top w:val="nil"/>
              <w:left w:val="nil"/>
              <w:bottom w:val="single" w:color="auto" w:sz="4" w:space="0"/>
              <w:right w:val="single" w:color="auto" w:sz="4" w:space="0"/>
            </w:tcBorders>
            <w:shd w:val="clear" w:color="auto" w:fill="auto"/>
            <w:vAlign w:val="center"/>
          </w:tcPr>
          <w:p w14:paraId="6BC7702C">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440FB099">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　</w:t>
            </w:r>
          </w:p>
        </w:tc>
        <w:tc>
          <w:tcPr>
            <w:tcW w:w="1134" w:type="dxa"/>
            <w:tcBorders>
              <w:top w:val="nil"/>
              <w:left w:val="nil"/>
              <w:bottom w:val="single" w:color="auto" w:sz="4" w:space="0"/>
              <w:right w:val="single" w:color="auto" w:sz="4" w:space="0"/>
            </w:tcBorders>
            <w:shd w:val="clear" w:color="auto" w:fill="auto"/>
            <w:vAlign w:val="center"/>
          </w:tcPr>
          <w:p w14:paraId="344CBA5D">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6</w:t>
            </w:r>
          </w:p>
        </w:tc>
        <w:tc>
          <w:tcPr>
            <w:tcW w:w="851" w:type="dxa"/>
            <w:tcBorders>
              <w:top w:val="single" w:color="auto" w:sz="4" w:space="0"/>
              <w:left w:val="nil"/>
              <w:bottom w:val="single" w:color="auto" w:sz="4" w:space="0"/>
              <w:right w:val="single" w:color="auto" w:sz="4" w:space="0"/>
            </w:tcBorders>
            <w:vAlign w:val="center"/>
          </w:tcPr>
          <w:p w14:paraId="67963B9F">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6FD9FE2F">
            <w:pPr>
              <w:widowControl/>
              <w:snapToGrid w:val="0"/>
              <w:jc w:val="center"/>
              <w:rPr>
                <w:rFonts w:eastAsia="宋体" w:cs="Times New Roman"/>
                <w:color w:val="000000"/>
                <w:kern w:val="0"/>
                <w:sz w:val="21"/>
                <w:szCs w:val="21"/>
              </w:rPr>
            </w:pPr>
          </w:p>
        </w:tc>
      </w:tr>
      <w:tr w14:paraId="2DEC2CA7">
        <w:tblPrEx>
          <w:tblCellMar>
            <w:top w:w="0" w:type="dxa"/>
            <w:left w:w="108" w:type="dxa"/>
            <w:bottom w:w="0" w:type="dxa"/>
            <w:right w:w="108" w:type="dxa"/>
          </w:tblCellMar>
        </w:tblPrEx>
        <w:trPr>
          <w:trHeight w:val="360" w:hRule="atLeast"/>
        </w:trPr>
        <w:tc>
          <w:tcPr>
            <w:tcW w:w="726" w:type="dxa"/>
            <w:vMerge w:val="continue"/>
            <w:tcBorders>
              <w:left w:val="single" w:color="auto" w:sz="4" w:space="0"/>
              <w:right w:val="single" w:color="auto" w:sz="4" w:space="0"/>
            </w:tcBorders>
            <w:vAlign w:val="center"/>
          </w:tcPr>
          <w:p w14:paraId="0971896E">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3B176981">
            <w:pPr>
              <w:widowControl/>
              <w:snapToGrid w:val="0"/>
              <w:jc w:val="center"/>
              <w:rPr>
                <w:rFonts w:hint="eastAsia" w:eastAsia="宋体" w:cs="Times New Roman"/>
                <w:color w:val="auto"/>
                <w:kern w:val="0"/>
                <w:sz w:val="21"/>
                <w:szCs w:val="21"/>
                <w:lang w:eastAsia="zh-CN"/>
              </w:rPr>
            </w:pPr>
            <w:r>
              <w:rPr>
                <w:rFonts w:hint="eastAsia" w:eastAsia="宋体" w:cs="Times New Roman"/>
                <w:color w:val="auto"/>
                <w:kern w:val="0"/>
                <w:sz w:val="21"/>
                <w:szCs w:val="21"/>
                <w:lang w:val="en-US" w:eastAsia="zh-CN"/>
              </w:rPr>
              <w:t>9</w:t>
            </w:r>
          </w:p>
        </w:tc>
        <w:tc>
          <w:tcPr>
            <w:tcW w:w="2835" w:type="dxa"/>
            <w:tcBorders>
              <w:top w:val="nil"/>
              <w:left w:val="nil"/>
              <w:bottom w:val="single" w:color="auto" w:sz="4" w:space="0"/>
              <w:right w:val="single" w:color="auto" w:sz="4" w:space="0"/>
            </w:tcBorders>
            <w:shd w:val="clear" w:color="auto" w:fill="auto"/>
            <w:vAlign w:val="center"/>
          </w:tcPr>
          <w:p w14:paraId="20BA3191">
            <w:pPr>
              <w:widowControl/>
              <w:snapToGrid w:val="0"/>
              <w:rPr>
                <w:rFonts w:eastAsia="宋体" w:cs="Times New Roman"/>
                <w:color w:val="auto"/>
                <w:kern w:val="0"/>
                <w:sz w:val="21"/>
                <w:szCs w:val="21"/>
              </w:rPr>
            </w:pPr>
            <w:r>
              <w:rPr>
                <w:rFonts w:eastAsia="宋体" w:cs="Times New Roman"/>
                <w:color w:val="auto"/>
                <w:kern w:val="0"/>
                <w:sz w:val="21"/>
                <w:szCs w:val="21"/>
              </w:rPr>
              <w:t>对外贸易进出口总额</w:t>
            </w:r>
          </w:p>
        </w:tc>
        <w:tc>
          <w:tcPr>
            <w:tcW w:w="850" w:type="dxa"/>
            <w:tcBorders>
              <w:top w:val="nil"/>
              <w:left w:val="nil"/>
              <w:bottom w:val="single" w:color="auto" w:sz="4" w:space="0"/>
              <w:right w:val="single" w:color="auto" w:sz="4" w:space="0"/>
            </w:tcBorders>
            <w:shd w:val="clear" w:color="auto" w:fill="auto"/>
            <w:vAlign w:val="center"/>
          </w:tcPr>
          <w:p w14:paraId="085FD737">
            <w:pPr>
              <w:widowControl/>
              <w:snapToGrid w:val="0"/>
              <w:jc w:val="center"/>
              <w:rPr>
                <w:rFonts w:eastAsia="宋体" w:cs="Times New Roman"/>
                <w:color w:val="auto"/>
                <w:kern w:val="0"/>
                <w:sz w:val="21"/>
                <w:szCs w:val="21"/>
              </w:rPr>
            </w:pPr>
            <w:r>
              <w:rPr>
                <w:rFonts w:eastAsia="宋体" w:cs="Times New Roman"/>
                <w:color w:val="auto"/>
                <w:kern w:val="0"/>
                <w:sz w:val="21"/>
                <w:szCs w:val="21"/>
              </w:rPr>
              <w:t>亿元</w:t>
            </w:r>
          </w:p>
        </w:tc>
        <w:tc>
          <w:tcPr>
            <w:tcW w:w="1134" w:type="dxa"/>
            <w:tcBorders>
              <w:top w:val="nil"/>
              <w:left w:val="nil"/>
              <w:bottom w:val="single" w:color="auto" w:sz="4" w:space="0"/>
              <w:right w:val="single" w:color="auto" w:sz="4" w:space="0"/>
            </w:tcBorders>
            <w:shd w:val="clear" w:color="auto" w:fill="auto"/>
            <w:vAlign w:val="center"/>
          </w:tcPr>
          <w:p w14:paraId="67EACC89">
            <w:pPr>
              <w:widowControl/>
              <w:snapToGrid w:val="0"/>
              <w:jc w:val="center"/>
              <w:rPr>
                <w:rFonts w:eastAsia="宋体" w:cs="Times New Roman"/>
                <w:color w:val="auto"/>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76E1F0AE">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＞5</w:t>
            </w:r>
          </w:p>
        </w:tc>
        <w:tc>
          <w:tcPr>
            <w:tcW w:w="851" w:type="dxa"/>
            <w:tcBorders>
              <w:top w:val="single" w:color="auto" w:sz="4" w:space="0"/>
              <w:left w:val="nil"/>
              <w:bottom w:val="single" w:color="auto" w:sz="4" w:space="0"/>
              <w:right w:val="single" w:color="auto" w:sz="4" w:space="0"/>
            </w:tcBorders>
            <w:vAlign w:val="center"/>
          </w:tcPr>
          <w:p w14:paraId="66A1DC0B">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7A0FFF41">
            <w:pPr>
              <w:widowControl/>
              <w:snapToGrid w:val="0"/>
              <w:jc w:val="center"/>
              <w:rPr>
                <w:rFonts w:eastAsia="宋体" w:cs="Times New Roman"/>
                <w:color w:val="000000"/>
                <w:kern w:val="0"/>
                <w:sz w:val="21"/>
                <w:szCs w:val="21"/>
              </w:rPr>
            </w:pPr>
          </w:p>
        </w:tc>
      </w:tr>
      <w:tr w14:paraId="7001E65F">
        <w:tblPrEx>
          <w:tblCellMar>
            <w:top w:w="0" w:type="dxa"/>
            <w:left w:w="108" w:type="dxa"/>
            <w:bottom w:w="0" w:type="dxa"/>
            <w:right w:w="108" w:type="dxa"/>
          </w:tblCellMar>
        </w:tblPrEx>
        <w:trPr>
          <w:trHeight w:val="339" w:hRule="atLeast"/>
        </w:trPr>
        <w:tc>
          <w:tcPr>
            <w:tcW w:w="726" w:type="dxa"/>
            <w:vMerge w:val="continue"/>
            <w:tcBorders>
              <w:left w:val="single" w:color="auto" w:sz="4" w:space="0"/>
              <w:right w:val="single" w:color="auto" w:sz="4" w:space="0"/>
            </w:tcBorders>
            <w:shd w:val="clear" w:color="auto" w:fill="auto"/>
            <w:vAlign w:val="center"/>
          </w:tcPr>
          <w:p w14:paraId="4B58C5EF">
            <w:pPr>
              <w:widowControl/>
              <w:snapToGrid w:val="0"/>
              <w:jc w:val="center"/>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61329625">
            <w:pPr>
              <w:widowControl/>
              <w:snapToGrid w:val="0"/>
              <w:jc w:val="center"/>
              <w:rPr>
                <w:rFonts w:hint="default" w:eastAsia="宋体" w:cs="Times New Roman"/>
                <w:color w:val="auto"/>
                <w:kern w:val="0"/>
                <w:sz w:val="21"/>
                <w:szCs w:val="21"/>
                <w:lang w:val="en-US" w:eastAsia="zh-CN"/>
              </w:rPr>
            </w:pPr>
            <w:r>
              <w:rPr>
                <w:rFonts w:eastAsia="宋体" w:cs="Times New Roman"/>
                <w:color w:val="auto"/>
                <w:kern w:val="0"/>
                <w:sz w:val="21"/>
                <w:szCs w:val="21"/>
              </w:rPr>
              <w:t>1</w:t>
            </w:r>
            <w:r>
              <w:rPr>
                <w:rFonts w:hint="eastAsia" w:eastAsia="宋体" w:cs="Times New Roman"/>
                <w:color w:val="auto"/>
                <w:kern w:val="0"/>
                <w:sz w:val="21"/>
                <w:szCs w:val="21"/>
                <w:lang w:val="en-US" w:eastAsia="zh-CN"/>
              </w:rPr>
              <w:t>0</w:t>
            </w:r>
          </w:p>
        </w:tc>
        <w:tc>
          <w:tcPr>
            <w:tcW w:w="2835" w:type="dxa"/>
            <w:tcBorders>
              <w:top w:val="nil"/>
              <w:left w:val="nil"/>
              <w:bottom w:val="single" w:color="auto" w:sz="4" w:space="0"/>
              <w:right w:val="single" w:color="auto" w:sz="4" w:space="0"/>
            </w:tcBorders>
            <w:shd w:val="clear" w:color="auto" w:fill="auto"/>
            <w:vAlign w:val="center"/>
          </w:tcPr>
          <w:p w14:paraId="7763C33A">
            <w:pPr>
              <w:widowControl/>
              <w:snapToGrid w:val="0"/>
              <w:rPr>
                <w:rFonts w:eastAsia="宋体" w:cs="Times New Roman"/>
                <w:color w:val="auto"/>
                <w:kern w:val="0"/>
                <w:sz w:val="21"/>
                <w:szCs w:val="21"/>
              </w:rPr>
            </w:pPr>
            <w:r>
              <w:rPr>
                <w:rFonts w:eastAsia="宋体" w:cs="Times New Roman"/>
                <w:color w:val="auto"/>
                <w:kern w:val="0"/>
                <w:sz w:val="21"/>
                <w:szCs w:val="21"/>
              </w:rPr>
              <w:t>研发</w:t>
            </w:r>
            <w:r>
              <w:rPr>
                <w:rFonts w:hint="eastAsia" w:eastAsia="宋体" w:cs="Times New Roman"/>
                <w:color w:val="auto"/>
                <w:kern w:val="0"/>
                <w:sz w:val="21"/>
                <w:szCs w:val="21"/>
              </w:rPr>
              <w:t>经费投入增长率</w:t>
            </w:r>
          </w:p>
        </w:tc>
        <w:tc>
          <w:tcPr>
            <w:tcW w:w="850" w:type="dxa"/>
            <w:tcBorders>
              <w:top w:val="nil"/>
              <w:left w:val="nil"/>
              <w:bottom w:val="single" w:color="auto" w:sz="4" w:space="0"/>
              <w:right w:val="single" w:color="auto" w:sz="4" w:space="0"/>
            </w:tcBorders>
            <w:shd w:val="clear" w:color="auto" w:fill="auto"/>
            <w:vAlign w:val="center"/>
          </w:tcPr>
          <w:p w14:paraId="44A46278">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21B79AEE">
            <w:pPr>
              <w:widowControl/>
              <w:snapToGrid w:val="0"/>
              <w:jc w:val="center"/>
              <w:rPr>
                <w:rFonts w:eastAsia="宋体" w:cs="Times New Roman"/>
                <w:color w:val="auto"/>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145BAC13">
            <w:pPr>
              <w:widowControl/>
              <w:snapToGrid w:val="0"/>
              <w:jc w:val="center"/>
              <w:rPr>
                <w:rFonts w:hint="default" w:eastAsia="宋体" w:cs="Times New Roman"/>
                <w:color w:val="000000"/>
                <w:kern w:val="0"/>
                <w:sz w:val="21"/>
                <w:szCs w:val="21"/>
                <w:lang w:val="en-US" w:eastAsia="zh-CN"/>
              </w:rPr>
            </w:pPr>
            <w:r>
              <w:rPr>
                <w:rFonts w:hint="eastAsia" w:eastAsia="宋体" w:cs="Times New Roman"/>
                <w:color w:val="000000"/>
                <w:kern w:val="0"/>
                <w:sz w:val="21"/>
                <w:szCs w:val="21"/>
              </w:rPr>
              <w:t>＞</w:t>
            </w:r>
            <w:r>
              <w:rPr>
                <w:rFonts w:hint="eastAsia" w:eastAsia="宋体" w:cs="Times New Roman"/>
                <w:color w:val="000000"/>
                <w:kern w:val="0"/>
                <w:sz w:val="21"/>
                <w:szCs w:val="21"/>
                <w:lang w:val="en-US" w:eastAsia="zh-CN"/>
              </w:rPr>
              <w:t>10</w:t>
            </w:r>
          </w:p>
        </w:tc>
        <w:tc>
          <w:tcPr>
            <w:tcW w:w="851" w:type="dxa"/>
            <w:tcBorders>
              <w:top w:val="single" w:color="auto" w:sz="4" w:space="0"/>
              <w:left w:val="nil"/>
              <w:bottom w:val="single" w:color="auto" w:sz="4" w:space="0"/>
              <w:right w:val="single" w:color="auto" w:sz="4" w:space="0"/>
            </w:tcBorders>
            <w:vAlign w:val="center"/>
          </w:tcPr>
          <w:p w14:paraId="1ECD17E6">
            <w:pPr>
              <w:widowControl/>
              <w:snapToGrid w:val="0"/>
              <w:jc w:val="center"/>
              <w:rPr>
                <w:rFonts w:eastAsia="宋体" w:cs="Times New Roman"/>
                <w:color w:val="000000"/>
                <w:kern w:val="0"/>
                <w:sz w:val="21"/>
                <w:szCs w:val="21"/>
              </w:rPr>
            </w:pPr>
            <w:r>
              <w:rPr>
                <w:rFonts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3F02FD61">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2CD57E87">
        <w:tblPrEx>
          <w:tblCellMar>
            <w:top w:w="0" w:type="dxa"/>
            <w:left w:w="108" w:type="dxa"/>
            <w:bottom w:w="0" w:type="dxa"/>
            <w:right w:w="108" w:type="dxa"/>
          </w:tblCellMar>
        </w:tblPrEx>
        <w:trPr>
          <w:trHeight w:val="360" w:hRule="atLeast"/>
        </w:trPr>
        <w:tc>
          <w:tcPr>
            <w:tcW w:w="726" w:type="dxa"/>
            <w:vMerge w:val="continue"/>
            <w:tcBorders>
              <w:left w:val="single" w:color="auto" w:sz="4" w:space="0"/>
              <w:bottom w:val="single" w:color="auto" w:sz="4" w:space="0"/>
              <w:right w:val="single" w:color="auto" w:sz="4" w:space="0"/>
            </w:tcBorders>
            <w:vAlign w:val="center"/>
          </w:tcPr>
          <w:p w14:paraId="1A9F3014">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CD3DFAA">
            <w:pPr>
              <w:widowControl/>
              <w:snapToGrid w:val="0"/>
              <w:jc w:val="center"/>
              <w:rPr>
                <w:rFonts w:hint="eastAsia" w:ascii="Times New Roman" w:hAnsi="Times New Roman" w:eastAsia="宋体" w:cs="Times New Roman"/>
                <w:color w:val="auto"/>
                <w:kern w:val="0"/>
                <w:sz w:val="21"/>
                <w:szCs w:val="21"/>
                <w:lang w:val="en-US" w:eastAsia="zh-CN" w:bidi="ar-SA"/>
              </w:rPr>
            </w:pPr>
            <w:r>
              <w:rPr>
                <w:rFonts w:eastAsia="宋体" w:cs="Times New Roman"/>
                <w:color w:val="auto"/>
                <w:kern w:val="0"/>
                <w:sz w:val="21"/>
                <w:szCs w:val="21"/>
              </w:rPr>
              <w:t>1</w:t>
            </w:r>
            <w:r>
              <w:rPr>
                <w:rFonts w:hint="eastAsia" w:eastAsia="宋体" w:cs="Times New Roman"/>
                <w:color w:val="auto"/>
                <w:kern w:val="0"/>
                <w:sz w:val="21"/>
                <w:szCs w:val="21"/>
                <w:lang w:val="en-US" w:eastAsia="zh-CN"/>
              </w:rPr>
              <w:t>1</w:t>
            </w:r>
          </w:p>
        </w:tc>
        <w:tc>
          <w:tcPr>
            <w:tcW w:w="2835" w:type="dxa"/>
            <w:tcBorders>
              <w:top w:val="nil"/>
              <w:left w:val="nil"/>
              <w:bottom w:val="single" w:color="auto" w:sz="4" w:space="0"/>
              <w:right w:val="single" w:color="auto" w:sz="4" w:space="0"/>
            </w:tcBorders>
            <w:shd w:val="clear" w:color="auto" w:fill="auto"/>
            <w:vAlign w:val="center"/>
          </w:tcPr>
          <w:p w14:paraId="5C09DF7F">
            <w:pPr>
              <w:widowControl/>
              <w:snapToGrid w:val="0"/>
              <w:rPr>
                <w:rFonts w:eastAsia="宋体" w:cs="Times New Roman"/>
                <w:color w:val="auto"/>
                <w:kern w:val="0"/>
                <w:sz w:val="21"/>
                <w:szCs w:val="21"/>
              </w:rPr>
            </w:pPr>
            <w:r>
              <w:rPr>
                <w:rFonts w:hint="eastAsia" w:eastAsia="宋体" w:cs="Times New Roman"/>
                <w:color w:val="auto"/>
                <w:kern w:val="0"/>
                <w:sz w:val="21"/>
                <w:szCs w:val="21"/>
              </w:rPr>
              <w:t>技术合同成交额</w:t>
            </w:r>
          </w:p>
        </w:tc>
        <w:tc>
          <w:tcPr>
            <w:tcW w:w="850" w:type="dxa"/>
            <w:tcBorders>
              <w:top w:val="nil"/>
              <w:left w:val="nil"/>
              <w:bottom w:val="single" w:color="auto" w:sz="4" w:space="0"/>
              <w:right w:val="single" w:color="auto" w:sz="4" w:space="0"/>
            </w:tcBorders>
            <w:shd w:val="clear" w:color="auto" w:fill="auto"/>
            <w:vAlign w:val="center"/>
          </w:tcPr>
          <w:p w14:paraId="4DBBAD58">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亿元</w:t>
            </w:r>
          </w:p>
        </w:tc>
        <w:tc>
          <w:tcPr>
            <w:tcW w:w="1134" w:type="dxa"/>
            <w:tcBorders>
              <w:top w:val="nil"/>
              <w:left w:val="nil"/>
              <w:bottom w:val="single" w:color="auto" w:sz="4" w:space="0"/>
              <w:right w:val="single" w:color="auto" w:sz="4" w:space="0"/>
            </w:tcBorders>
            <w:shd w:val="clear" w:color="auto" w:fill="auto"/>
            <w:vAlign w:val="center"/>
          </w:tcPr>
          <w:p w14:paraId="05D645F6">
            <w:pPr>
              <w:widowControl/>
              <w:snapToGrid w:val="0"/>
              <w:jc w:val="center"/>
              <w:rPr>
                <w:rFonts w:hint="default" w:eastAsia="宋体" w:cs="Times New Roman"/>
                <w:color w:val="auto"/>
                <w:kern w:val="0"/>
                <w:sz w:val="21"/>
                <w:szCs w:val="21"/>
                <w:lang w:val="en-US" w:eastAsia="zh-CN"/>
              </w:rPr>
            </w:pPr>
            <w:r>
              <w:rPr>
                <w:rFonts w:hint="eastAsia" w:eastAsia="宋体" w:cs="Times New Roman"/>
                <w:color w:val="auto"/>
                <w:kern w:val="0"/>
                <w:sz w:val="21"/>
                <w:szCs w:val="21"/>
                <w:lang w:val="en-US" w:eastAsia="zh-CN"/>
              </w:rPr>
              <w:t>0.5</w:t>
            </w:r>
          </w:p>
        </w:tc>
        <w:tc>
          <w:tcPr>
            <w:tcW w:w="1134" w:type="dxa"/>
            <w:tcBorders>
              <w:top w:val="nil"/>
              <w:left w:val="nil"/>
              <w:bottom w:val="single" w:color="auto" w:sz="4" w:space="0"/>
              <w:right w:val="single" w:color="auto" w:sz="4" w:space="0"/>
            </w:tcBorders>
            <w:shd w:val="clear" w:color="auto" w:fill="auto"/>
            <w:vAlign w:val="center"/>
          </w:tcPr>
          <w:p w14:paraId="7193A842">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20084C69">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61DE347A">
            <w:pPr>
              <w:widowControl/>
              <w:snapToGrid w:val="0"/>
              <w:jc w:val="center"/>
              <w:rPr>
                <w:rFonts w:eastAsia="宋体" w:cs="Times New Roman"/>
                <w:color w:val="000000"/>
                <w:kern w:val="0"/>
                <w:sz w:val="21"/>
                <w:szCs w:val="21"/>
              </w:rPr>
            </w:pPr>
          </w:p>
        </w:tc>
      </w:tr>
      <w:tr w14:paraId="008EACA5">
        <w:tblPrEx>
          <w:tblCellMar>
            <w:top w:w="0" w:type="dxa"/>
            <w:left w:w="108" w:type="dxa"/>
            <w:bottom w:w="0" w:type="dxa"/>
            <w:right w:w="108" w:type="dxa"/>
          </w:tblCellMar>
        </w:tblPrEx>
        <w:trPr>
          <w:trHeight w:val="360" w:hRule="atLeast"/>
        </w:trPr>
        <w:tc>
          <w:tcPr>
            <w:tcW w:w="7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9D39DC">
            <w:pPr>
              <w:widowControl/>
              <w:snapToGrid w:val="0"/>
              <w:jc w:val="center"/>
              <w:rPr>
                <w:rFonts w:eastAsia="宋体" w:cs="Times New Roman"/>
                <w:color w:val="000000"/>
                <w:kern w:val="0"/>
                <w:sz w:val="21"/>
                <w:szCs w:val="21"/>
              </w:rPr>
            </w:pPr>
            <w:r>
              <w:rPr>
                <w:rFonts w:eastAsia="宋体" w:cs="Times New Roman"/>
                <w:color w:val="000000"/>
                <w:kern w:val="0"/>
                <w:sz w:val="21"/>
                <w:szCs w:val="21"/>
              </w:rPr>
              <w:t>民生福祉</w:t>
            </w:r>
          </w:p>
        </w:tc>
        <w:tc>
          <w:tcPr>
            <w:tcW w:w="709" w:type="dxa"/>
            <w:tcBorders>
              <w:top w:val="nil"/>
              <w:left w:val="nil"/>
              <w:bottom w:val="single" w:color="auto" w:sz="4" w:space="0"/>
              <w:right w:val="single" w:color="auto" w:sz="4" w:space="0"/>
            </w:tcBorders>
            <w:shd w:val="clear" w:color="auto" w:fill="auto"/>
            <w:vAlign w:val="center"/>
          </w:tcPr>
          <w:p w14:paraId="2B908189">
            <w:pPr>
              <w:widowControl/>
              <w:snapToGrid w:val="0"/>
              <w:jc w:val="center"/>
              <w:rPr>
                <w:rFonts w:hint="default" w:ascii="Times New Roman" w:hAnsi="Times New Roman" w:eastAsia="宋体" w:cs="Times New Roman"/>
                <w:color w:val="auto"/>
                <w:kern w:val="0"/>
                <w:sz w:val="21"/>
                <w:szCs w:val="21"/>
                <w:lang w:val="en-US" w:eastAsia="zh-CN" w:bidi="ar-SA"/>
              </w:rPr>
            </w:pPr>
            <w:r>
              <w:rPr>
                <w:rFonts w:eastAsia="宋体" w:cs="Times New Roman"/>
                <w:color w:val="auto"/>
                <w:kern w:val="0"/>
                <w:sz w:val="21"/>
                <w:szCs w:val="21"/>
              </w:rPr>
              <w:t>1</w:t>
            </w:r>
            <w:r>
              <w:rPr>
                <w:rFonts w:hint="eastAsia" w:eastAsia="宋体" w:cs="Times New Roman"/>
                <w:color w:val="auto"/>
                <w:kern w:val="0"/>
                <w:sz w:val="21"/>
                <w:szCs w:val="21"/>
                <w:lang w:val="en-US" w:eastAsia="zh-CN"/>
              </w:rPr>
              <w:t>2</w:t>
            </w:r>
          </w:p>
        </w:tc>
        <w:tc>
          <w:tcPr>
            <w:tcW w:w="2835" w:type="dxa"/>
            <w:tcBorders>
              <w:top w:val="nil"/>
              <w:left w:val="nil"/>
              <w:bottom w:val="single" w:color="auto" w:sz="4" w:space="0"/>
              <w:right w:val="single" w:color="auto" w:sz="4" w:space="0"/>
            </w:tcBorders>
            <w:shd w:val="clear" w:color="auto" w:fill="auto"/>
            <w:vAlign w:val="center"/>
          </w:tcPr>
          <w:p w14:paraId="2BBA03E6">
            <w:pPr>
              <w:widowControl/>
              <w:snapToGrid w:val="0"/>
              <w:rPr>
                <w:rFonts w:eastAsia="宋体" w:cs="Times New Roman"/>
                <w:color w:val="auto"/>
                <w:kern w:val="0"/>
                <w:sz w:val="21"/>
                <w:szCs w:val="21"/>
              </w:rPr>
            </w:pPr>
            <w:r>
              <w:rPr>
                <w:rFonts w:eastAsia="宋体" w:cs="Times New Roman"/>
                <w:color w:val="auto"/>
                <w:kern w:val="0"/>
                <w:sz w:val="21"/>
                <w:szCs w:val="21"/>
              </w:rPr>
              <w:t>单位</w:t>
            </w:r>
            <w:r>
              <w:rPr>
                <w:rFonts w:hint="eastAsia" w:eastAsia="宋体" w:cs="Times New Roman"/>
                <w:color w:val="auto"/>
                <w:kern w:val="0"/>
                <w:sz w:val="21"/>
                <w:szCs w:val="21"/>
              </w:rPr>
              <w:t>GDP</w:t>
            </w:r>
            <w:r>
              <w:rPr>
                <w:rFonts w:eastAsia="宋体" w:cs="Times New Roman"/>
                <w:color w:val="auto"/>
                <w:kern w:val="0"/>
                <w:sz w:val="21"/>
                <w:szCs w:val="21"/>
              </w:rPr>
              <w:t>能源消耗降幅</w:t>
            </w:r>
          </w:p>
        </w:tc>
        <w:tc>
          <w:tcPr>
            <w:tcW w:w="850" w:type="dxa"/>
            <w:tcBorders>
              <w:top w:val="nil"/>
              <w:left w:val="nil"/>
              <w:bottom w:val="single" w:color="auto" w:sz="4" w:space="0"/>
              <w:right w:val="single" w:color="auto" w:sz="4" w:space="0"/>
            </w:tcBorders>
            <w:shd w:val="clear" w:color="auto" w:fill="auto"/>
            <w:vAlign w:val="center"/>
          </w:tcPr>
          <w:p w14:paraId="0D4E5A79">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55FABAD7">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完成省下达目标</w:t>
            </w:r>
            <w:r>
              <w:rPr>
                <w:rFonts w:eastAsia="宋体" w:cs="Times New Roman"/>
                <w:color w:val="auto"/>
                <w:kern w:val="0"/>
                <w:sz w:val="21"/>
                <w:szCs w:val="21"/>
              </w:rPr>
              <w:t>　</w:t>
            </w:r>
          </w:p>
        </w:tc>
        <w:tc>
          <w:tcPr>
            <w:tcW w:w="1134" w:type="dxa"/>
            <w:tcBorders>
              <w:top w:val="nil"/>
              <w:left w:val="nil"/>
              <w:bottom w:val="single" w:color="auto" w:sz="4" w:space="0"/>
              <w:right w:val="single" w:color="auto" w:sz="4" w:space="0"/>
            </w:tcBorders>
            <w:shd w:val="clear" w:color="auto" w:fill="auto"/>
            <w:vAlign w:val="center"/>
          </w:tcPr>
          <w:p w14:paraId="1508D75A">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603BFD30">
            <w:pPr>
              <w:widowControl/>
              <w:snapToGrid w:val="0"/>
              <w:jc w:val="center"/>
              <w:rPr>
                <w:rFonts w:eastAsia="宋体" w:cs="Times New Roman"/>
                <w:color w:val="000000"/>
                <w:kern w:val="0"/>
                <w:sz w:val="21"/>
                <w:szCs w:val="21"/>
              </w:rPr>
            </w:pPr>
            <w:r>
              <w:rPr>
                <w:rFonts w:eastAsia="宋体" w:cs="Times New Roman"/>
                <w:color w:val="000000"/>
                <w:kern w:val="0"/>
                <w:sz w:val="21"/>
                <w:szCs w:val="21"/>
              </w:rPr>
              <w:t>约束性</w:t>
            </w:r>
          </w:p>
        </w:tc>
        <w:tc>
          <w:tcPr>
            <w:tcW w:w="730" w:type="dxa"/>
            <w:tcBorders>
              <w:top w:val="single" w:color="auto" w:sz="4" w:space="0"/>
              <w:left w:val="nil"/>
              <w:bottom w:val="single" w:color="auto" w:sz="4" w:space="0"/>
              <w:right w:val="single" w:color="auto" w:sz="4" w:space="0"/>
            </w:tcBorders>
            <w:vAlign w:val="center"/>
          </w:tcPr>
          <w:p w14:paraId="20E36981">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71F8C8EA">
        <w:tblPrEx>
          <w:tblCellMar>
            <w:top w:w="0" w:type="dxa"/>
            <w:left w:w="108" w:type="dxa"/>
            <w:bottom w:w="0" w:type="dxa"/>
            <w:right w:w="108" w:type="dxa"/>
          </w:tblCellMar>
        </w:tblPrEx>
        <w:trPr>
          <w:trHeight w:val="540"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42108E22">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1242923">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13</w:t>
            </w:r>
          </w:p>
        </w:tc>
        <w:tc>
          <w:tcPr>
            <w:tcW w:w="2835" w:type="dxa"/>
            <w:tcBorders>
              <w:top w:val="nil"/>
              <w:left w:val="nil"/>
              <w:bottom w:val="single" w:color="auto" w:sz="4" w:space="0"/>
              <w:right w:val="single" w:color="auto" w:sz="4" w:space="0"/>
            </w:tcBorders>
            <w:shd w:val="clear" w:color="auto" w:fill="auto"/>
            <w:vAlign w:val="center"/>
          </w:tcPr>
          <w:p w14:paraId="794E6E64">
            <w:pPr>
              <w:widowControl/>
              <w:snapToGrid w:val="0"/>
              <w:rPr>
                <w:rFonts w:eastAsia="宋体" w:cs="Times New Roman"/>
                <w:color w:val="auto"/>
                <w:kern w:val="0"/>
                <w:sz w:val="21"/>
                <w:szCs w:val="21"/>
              </w:rPr>
            </w:pPr>
            <w:r>
              <w:rPr>
                <w:rFonts w:hint="eastAsia" w:eastAsia="宋体" w:cs="Times New Roman"/>
                <w:color w:val="auto"/>
                <w:kern w:val="0"/>
                <w:sz w:val="21"/>
                <w:szCs w:val="21"/>
              </w:rPr>
              <w:t>单位GDP二氧化碳排放降幅</w:t>
            </w:r>
          </w:p>
        </w:tc>
        <w:tc>
          <w:tcPr>
            <w:tcW w:w="850" w:type="dxa"/>
            <w:tcBorders>
              <w:top w:val="nil"/>
              <w:left w:val="nil"/>
              <w:bottom w:val="single" w:color="auto" w:sz="4" w:space="0"/>
              <w:right w:val="single" w:color="auto" w:sz="4" w:space="0"/>
            </w:tcBorders>
            <w:shd w:val="clear" w:color="auto" w:fill="auto"/>
            <w:vAlign w:val="center"/>
          </w:tcPr>
          <w:p w14:paraId="3905D192">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6A65CC33">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完成省下达目标　</w:t>
            </w:r>
          </w:p>
        </w:tc>
        <w:tc>
          <w:tcPr>
            <w:tcW w:w="1134" w:type="dxa"/>
            <w:tcBorders>
              <w:top w:val="nil"/>
              <w:left w:val="nil"/>
              <w:bottom w:val="single" w:color="auto" w:sz="4" w:space="0"/>
              <w:right w:val="single" w:color="auto" w:sz="4" w:space="0"/>
            </w:tcBorders>
            <w:shd w:val="clear" w:color="auto" w:fill="auto"/>
            <w:vAlign w:val="center"/>
          </w:tcPr>
          <w:p w14:paraId="26F3CCA4">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7F052B0D">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约束性</w:t>
            </w:r>
          </w:p>
        </w:tc>
        <w:tc>
          <w:tcPr>
            <w:tcW w:w="730" w:type="dxa"/>
            <w:tcBorders>
              <w:top w:val="single" w:color="auto" w:sz="4" w:space="0"/>
              <w:left w:val="nil"/>
              <w:bottom w:val="single" w:color="auto" w:sz="4" w:space="0"/>
              <w:right w:val="single" w:color="auto" w:sz="4" w:space="0"/>
            </w:tcBorders>
            <w:vAlign w:val="center"/>
          </w:tcPr>
          <w:p w14:paraId="584A7C38">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35D32974">
        <w:tblPrEx>
          <w:tblCellMar>
            <w:top w:w="0" w:type="dxa"/>
            <w:left w:w="108" w:type="dxa"/>
            <w:bottom w:w="0" w:type="dxa"/>
            <w:right w:w="108" w:type="dxa"/>
          </w:tblCellMar>
        </w:tblPrEx>
        <w:trPr>
          <w:trHeight w:val="281"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16DC8B10">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812285B">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14</w:t>
            </w:r>
          </w:p>
        </w:tc>
        <w:tc>
          <w:tcPr>
            <w:tcW w:w="2835" w:type="dxa"/>
            <w:tcBorders>
              <w:top w:val="nil"/>
              <w:left w:val="nil"/>
              <w:bottom w:val="single" w:color="auto" w:sz="4" w:space="0"/>
              <w:right w:val="single" w:color="auto" w:sz="4" w:space="0"/>
            </w:tcBorders>
            <w:shd w:val="clear" w:color="auto" w:fill="auto"/>
            <w:vAlign w:val="center"/>
          </w:tcPr>
          <w:p w14:paraId="5B06B0BE">
            <w:pPr>
              <w:widowControl/>
              <w:snapToGrid w:val="0"/>
              <w:rPr>
                <w:rFonts w:eastAsia="宋体" w:cs="Times New Roman"/>
                <w:color w:val="auto"/>
                <w:kern w:val="0"/>
                <w:sz w:val="21"/>
                <w:szCs w:val="21"/>
              </w:rPr>
            </w:pPr>
            <w:r>
              <w:rPr>
                <w:rFonts w:hint="eastAsia" w:eastAsia="宋体" w:cs="Times New Roman"/>
                <w:color w:val="auto"/>
                <w:kern w:val="0"/>
                <w:sz w:val="21"/>
                <w:szCs w:val="21"/>
              </w:rPr>
              <w:t>空气质量优良以上天数比率</w:t>
            </w:r>
          </w:p>
        </w:tc>
        <w:tc>
          <w:tcPr>
            <w:tcW w:w="850" w:type="dxa"/>
            <w:tcBorders>
              <w:top w:val="nil"/>
              <w:left w:val="nil"/>
              <w:bottom w:val="single" w:color="auto" w:sz="4" w:space="0"/>
              <w:right w:val="single" w:color="auto" w:sz="4" w:space="0"/>
            </w:tcBorders>
            <w:shd w:val="clear" w:color="auto" w:fill="auto"/>
            <w:vAlign w:val="center"/>
          </w:tcPr>
          <w:p w14:paraId="1C093311">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2001DBB1">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完成省下达目标　</w:t>
            </w:r>
          </w:p>
        </w:tc>
        <w:tc>
          <w:tcPr>
            <w:tcW w:w="1134" w:type="dxa"/>
            <w:tcBorders>
              <w:top w:val="nil"/>
              <w:left w:val="nil"/>
              <w:bottom w:val="single" w:color="auto" w:sz="4" w:space="0"/>
              <w:right w:val="single" w:color="auto" w:sz="4" w:space="0"/>
            </w:tcBorders>
            <w:shd w:val="clear" w:color="auto" w:fill="auto"/>
            <w:vAlign w:val="center"/>
          </w:tcPr>
          <w:p w14:paraId="7F486E2E">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286D9CE5">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约束性</w:t>
            </w:r>
          </w:p>
        </w:tc>
        <w:tc>
          <w:tcPr>
            <w:tcW w:w="730" w:type="dxa"/>
            <w:tcBorders>
              <w:top w:val="single" w:color="auto" w:sz="4" w:space="0"/>
              <w:left w:val="nil"/>
              <w:bottom w:val="single" w:color="auto" w:sz="4" w:space="0"/>
              <w:right w:val="single" w:color="auto" w:sz="4" w:space="0"/>
            </w:tcBorders>
            <w:vAlign w:val="center"/>
          </w:tcPr>
          <w:p w14:paraId="2D734F87">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1D4E9701">
        <w:tblPrEx>
          <w:tblCellMar>
            <w:top w:w="0" w:type="dxa"/>
            <w:left w:w="108" w:type="dxa"/>
            <w:bottom w:w="0" w:type="dxa"/>
            <w:right w:w="108" w:type="dxa"/>
          </w:tblCellMar>
        </w:tblPrEx>
        <w:trPr>
          <w:trHeight w:val="321"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7DF471D2">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4727E938">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eastAsia="宋体" w:cs="Times New Roman"/>
                <w:color w:val="auto"/>
                <w:kern w:val="0"/>
                <w:sz w:val="21"/>
                <w:szCs w:val="21"/>
                <w:lang w:val="en-US" w:eastAsia="zh-CN"/>
              </w:rPr>
              <w:t>15</w:t>
            </w:r>
          </w:p>
        </w:tc>
        <w:tc>
          <w:tcPr>
            <w:tcW w:w="2835" w:type="dxa"/>
            <w:tcBorders>
              <w:top w:val="nil"/>
              <w:left w:val="nil"/>
              <w:bottom w:val="single" w:color="auto" w:sz="4" w:space="0"/>
              <w:right w:val="single" w:color="auto" w:sz="4" w:space="0"/>
            </w:tcBorders>
            <w:shd w:val="clear" w:color="auto" w:fill="auto"/>
            <w:vAlign w:val="center"/>
          </w:tcPr>
          <w:p w14:paraId="12F3048F">
            <w:pPr>
              <w:widowControl/>
              <w:snapToGrid w:val="0"/>
              <w:rPr>
                <w:rFonts w:eastAsia="宋体" w:cs="Times New Roman"/>
                <w:color w:val="auto"/>
                <w:kern w:val="0"/>
                <w:sz w:val="21"/>
                <w:szCs w:val="21"/>
              </w:rPr>
            </w:pPr>
            <w:r>
              <w:rPr>
                <w:rFonts w:hint="eastAsia" w:eastAsia="宋体" w:cs="Times New Roman"/>
                <w:color w:val="auto"/>
                <w:kern w:val="0"/>
                <w:sz w:val="21"/>
                <w:szCs w:val="21"/>
              </w:rPr>
              <w:t>达到或好于Ⅲ类水体占地表水比例</w:t>
            </w:r>
          </w:p>
        </w:tc>
        <w:tc>
          <w:tcPr>
            <w:tcW w:w="850" w:type="dxa"/>
            <w:tcBorders>
              <w:top w:val="nil"/>
              <w:left w:val="nil"/>
              <w:bottom w:val="single" w:color="auto" w:sz="4" w:space="0"/>
              <w:right w:val="single" w:color="auto" w:sz="4" w:space="0"/>
            </w:tcBorders>
            <w:shd w:val="clear" w:color="auto" w:fill="auto"/>
            <w:vAlign w:val="center"/>
          </w:tcPr>
          <w:p w14:paraId="628E6BAF">
            <w:pPr>
              <w:widowControl/>
              <w:snapToGrid w:val="0"/>
              <w:jc w:val="center"/>
              <w:rPr>
                <w:rFonts w:eastAsia="宋体" w:cs="Times New Roman"/>
                <w:color w:val="auto"/>
                <w:kern w:val="0"/>
                <w:sz w:val="21"/>
                <w:szCs w:val="21"/>
              </w:rPr>
            </w:pPr>
            <w:r>
              <w:rPr>
                <w:rFonts w:eastAsia="宋体" w:cs="Times New Roman"/>
                <w:color w:val="auto"/>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3A9E894C">
            <w:pPr>
              <w:widowControl/>
              <w:snapToGrid w:val="0"/>
              <w:jc w:val="center"/>
              <w:rPr>
                <w:rFonts w:eastAsia="宋体" w:cs="Times New Roman"/>
                <w:color w:val="auto"/>
                <w:kern w:val="0"/>
                <w:sz w:val="21"/>
                <w:szCs w:val="21"/>
              </w:rPr>
            </w:pPr>
            <w:r>
              <w:rPr>
                <w:rFonts w:hint="eastAsia" w:eastAsia="宋体" w:cs="Times New Roman"/>
                <w:color w:val="auto"/>
                <w:kern w:val="0"/>
                <w:sz w:val="21"/>
                <w:szCs w:val="21"/>
              </w:rPr>
              <w:t>完成省下达目标　</w:t>
            </w:r>
          </w:p>
        </w:tc>
        <w:tc>
          <w:tcPr>
            <w:tcW w:w="1134" w:type="dxa"/>
            <w:tcBorders>
              <w:top w:val="nil"/>
              <w:left w:val="nil"/>
              <w:bottom w:val="single" w:color="auto" w:sz="4" w:space="0"/>
              <w:right w:val="single" w:color="auto" w:sz="4" w:space="0"/>
            </w:tcBorders>
            <w:shd w:val="clear" w:color="auto" w:fill="auto"/>
            <w:vAlign w:val="center"/>
          </w:tcPr>
          <w:p w14:paraId="75E0C47C">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4BF73458">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约束性</w:t>
            </w:r>
          </w:p>
        </w:tc>
        <w:tc>
          <w:tcPr>
            <w:tcW w:w="730" w:type="dxa"/>
            <w:tcBorders>
              <w:top w:val="single" w:color="auto" w:sz="4" w:space="0"/>
              <w:left w:val="nil"/>
              <w:bottom w:val="single" w:color="auto" w:sz="4" w:space="0"/>
              <w:right w:val="single" w:color="auto" w:sz="4" w:space="0"/>
            </w:tcBorders>
            <w:vAlign w:val="center"/>
          </w:tcPr>
          <w:p w14:paraId="72ACF099">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542D3DE8">
        <w:tblPrEx>
          <w:tblCellMar>
            <w:top w:w="0" w:type="dxa"/>
            <w:left w:w="108" w:type="dxa"/>
            <w:bottom w:w="0" w:type="dxa"/>
            <w:right w:w="108" w:type="dxa"/>
          </w:tblCellMar>
        </w:tblPrEx>
        <w:trPr>
          <w:trHeight w:val="570" w:hRule="atLeast"/>
        </w:trPr>
        <w:tc>
          <w:tcPr>
            <w:tcW w:w="7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1067E9">
            <w:pPr>
              <w:widowControl/>
              <w:snapToGrid w:val="0"/>
              <w:jc w:val="center"/>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E371B7E">
            <w:pPr>
              <w:widowControl/>
              <w:snapToGrid w:val="0"/>
              <w:jc w:val="center"/>
              <w:rPr>
                <w:rFonts w:hint="default"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lang w:val="en-US" w:eastAsia="zh-CN"/>
              </w:rPr>
              <w:t>16</w:t>
            </w:r>
          </w:p>
        </w:tc>
        <w:tc>
          <w:tcPr>
            <w:tcW w:w="2835" w:type="dxa"/>
            <w:tcBorders>
              <w:top w:val="nil"/>
              <w:left w:val="nil"/>
              <w:bottom w:val="single" w:color="auto" w:sz="4" w:space="0"/>
              <w:right w:val="single" w:color="auto" w:sz="4" w:space="0"/>
            </w:tcBorders>
            <w:shd w:val="clear" w:color="auto" w:fill="auto"/>
            <w:vAlign w:val="center"/>
          </w:tcPr>
          <w:p w14:paraId="5C2787F5">
            <w:pPr>
              <w:widowControl/>
              <w:snapToGrid w:val="0"/>
              <w:rPr>
                <w:rFonts w:eastAsia="宋体" w:cs="Times New Roman"/>
                <w:color w:val="000000"/>
                <w:kern w:val="0"/>
                <w:sz w:val="21"/>
                <w:szCs w:val="21"/>
              </w:rPr>
            </w:pPr>
            <w:r>
              <w:rPr>
                <w:rFonts w:eastAsia="宋体" w:cs="Times New Roman"/>
                <w:color w:val="000000"/>
                <w:kern w:val="0"/>
                <w:sz w:val="21"/>
                <w:szCs w:val="21"/>
              </w:rPr>
              <w:t>城镇常住居民人均可支配收入增长率</w:t>
            </w:r>
          </w:p>
        </w:tc>
        <w:tc>
          <w:tcPr>
            <w:tcW w:w="850" w:type="dxa"/>
            <w:tcBorders>
              <w:top w:val="nil"/>
              <w:left w:val="nil"/>
              <w:bottom w:val="single" w:color="auto" w:sz="4" w:space="0"/>
              <w:right w:val="single" w:color="auto" w:sz="4" w:space="0"/>
            </w:tcBorders>
            <w:shd w:val="clear" w:color="auto" w:fill="auto"/>
            <w:vAlign w:val="center"/>
          </w:tcPr>
          <w:p w14:paraId="3C0D9C95">
            <w:pPr>
              <w:widowControl/>
              <w:snapToGrid w:val="0"/>
              <w:jc w:val="center"/>
              <w:rPr>
                <w:rFonts w:eastAsia="宋体" w:cs="Times New Roman"/>
                <w:color w:val="000000"/>
                <w:kern w:val="0"/>
                <w:sz w:val="21"/>
                <w:szCs w:val="21"/>
              </w:rPr>
            </w:pPr>
            <w:r>
              <w:rPr>
                <w:rFonts w:eastAsia="宋体" w:cs="Times New Roman"/>
                <w:color w:val="000000"/>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76471CA4">
            <w:pPr>
              <w:widowControl/>
              <w:snapToGrid w:val="0"/>
              <w:jc w:val="center"/>
              <w:rPr>
                <w:rFonts w:hint="default" w:eastAsia="宋体" w:cs="Times New Roman"/>
                <w:color w:val="5B9BD5" w:themeColor="accent1"/>
                <w:kern w:val="0"/>
                <w:sz w:val="21"/>
                <w:szCs w:val="21"/>
                <w:lang w:val="en-US" w:eastAsia="zh-CN"/>
                <w14:textFill>
                  <w14:solidFill>
                    <w14:schemeClr w14:val="accent1"/>
                  </w14:solidFill>
                </w14:textFill>
              </w:rPr>
            </w:pPr>
          </w:p>
        </w:tc>
        <w:tc>
          <w:tcPr>
            <w:tcW w:w="1134" w:type="dxa"/>
            <w:tcBorders>
              <w:top w:val="nil"/>
              <w:left w:val="nil"/>
              <w:bottom w:val="single" w:color="auto" w:sz="4" w:space="0"/>
              <w:right w:val="single" w:color="auto" w:sz="4" w:space="0"/>
            </w:tcBorders>
            <w:shd w:val="clear" w:color="auto" w:fill="auto"/>
            <w:vAlign w:val="center"/>
          </w:tcPr>
          <w:p w14:paraId="48543804">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6左右</w:t>
            </w:r>
          </w:p>
        </w:tc>
        <w:tc>
          <w:tcPr>
            <w:tcW w:w="851" w:type="dxa"/>
            <w:tcBorders>
              <w:top w:val="single" w:color="auto" w:sz="4" w:space="0"/>
              <w:left w:val="nil"/>
              <w:bottom w:val="single" w:color="auto" w:sz="4" w:space="0"/>
              <w:right w:val="single" w:color="auto" w:sz="4" w:space="0"/>
            </w:tcBorders>
            <w:vAlign w:val="center"/>
          </w:tcPr>
          <w:p w14:paraId="014A8785">
            <w:pPr>
              <w:widowControl/>
              <w:snapToGrid w:val="0"/>
              <w:jc w:val="center"/>
              <w:rPr>
                <w:rFonts w:eastAsia="宋体" w:cs="Times New Roman"/>
                <w:color w:val="000000"/>
                <w:kern w:val="0"/>
                <w:sz w:val="21"/>
                <w:szCs w:val="21"/>
              </w:rPr>
            </w:pPr>
            <w:r>
              <w:rPr>
                <w:rFonts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0C2AA841">
            <w:pPr>
              <w:widowControl/>
              <w:snapToGrid w:val="0"/>
              <w:jc w:val="center"/>
              <w:rPr>
                <w:rFonts w:eastAsia="宋体" w:cs="Times New Roman"/>
                <w:color w:val="000000"/>
                <w:kern w:val="0"/>
                <w:sz w:val="21"/>
                <w:szCs w:val="21"/>
              </w:rPr>
            </w:pPr>
          </w:p>
        </w:tc>
      </w:tr>
      <w:tr w14:paraId="0D803D05">
        <w:tblPrEx>
          <w:tblCellMar>
            <w:top w:w="0" w:type="dxa"/>
            <w:left w:w="108" w:type="dxa"/>
            <w:bottom w:w="0" w:type="dxa"/>
            <w:right w:w="108" w:type="dxa"/>
          </w:tblCellMar>
        </w:tblPrEx>
        <w:trPr>
          <w:trHeight w:val="570"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5C5BB568">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2091CEA4">
            <w:pPr>
              <w:widowControl/>
              <w:snapToGrid w:val="0"/>
              <w:jc w:val="center"/>
              <w:rPr>
                <w:rFonts w:hint="default"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lang w:val="en-US" w:eastAsia="zh-CN"/>
              </w:rPr>
              <w:t>17</w:t>
            </w:r>
          </w:p>
        </w:tc>
        <w:tc>
          <w:tcPr>
            <w:tcW w:w="2835" w:type="dxa"/>
            <w:tcBorders>
              <w:top w:val="nil"/>
              <w:left w:val="nil"/>
              <w:bottom w:val="single" w:color="auto" w:sz="4" w:space="0"/>
              <w:right w:val="single" w:color="auto" w:sz="4" w:space="0"/>
            </w:tcBorders>
            <w:shd w:val="clear" w:color="auto" w:fill="auto"/>
            <w:vAlign w:val="center"/>
          </w:tcPr>
          <w:p w14:paraId="16627D30">
            <w:pPr>
              <w:widowControl/>
              <w:snapToGrid w:val="0"/>
              <w:rPr>
                <w:rFonts w:eastAsia="宋体" w:cs="Times New Roman"/>
                <w:color w:val="000000"/>
                <w:kern w:val="0"/>
                <w:sz w:val="21"/>
                <w:szCs w:val="21"/>
              </w:rPr>
            </w:pPr>
            <w:r>
              <w:rPr>
                <w:rFonts w:hint="eastAsia" w:eastAsia="宋体" w:cs="Times New Roman"/>
                <w:color w:val="000000"/>
                <w:kern w:val="0"/>
                <w:sz w:val="21"/>
                <w:szCs w:val="21"/>
              </w:rPr>
              <w:t>农村常住居民人均可支配收入增长率</w:t>
            </w:r>
          </w:p>
        </w:tc>
        <w:tc>
          <w:tcPr>
            <w:tcW w:w="850" w:type="dxa"/>
            <w:tcBorders>
              <w:top w:val="nil"/>
              <w:left w:val="nil"/>
              <w:bottom w:val="single" w:color="auto" w:sz="4" w:space="0"/>
              <w:right w:val="single" w:color="auto" w:sz="4" w:space="0"/>
            </w:tcBorders>
            <w:shd w:val="clear" w:color="auto" w:fill="auto"/>
            <w:vAlign w:val="center"/>
          </w:tcPr>
          <w:p w14:paraId="5D993639">
            <w:pPr>
              <w:widowControl/>
              <w:snapToGrid w:val="0"/>
              <w:jc w:val="center"/>
              <w:rPr>
                <w:rFonts w:eastAsia="宋体" w:cs="Times New Roman"/>
                <w:color w:val="000000"/>
                <w:kern w:val="0"/>
                <w:sz w:val="21"/>
                <w:szCs w:val="21"/>
              </w:rPr>
            </w:pPr>
            <w:r>
              <w:rPr>
                <w:rFonts w:eastAsia="宋体" w:cs="Times New Roman"/>
                <w:color w:val="000000"/>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152E1489">
            <w:pPr>
              <w:widowControl/>
              <w:snapToGrid w:val="0"/>
              <w:jc w:val="center"/>
              <w:rPr>
                <w:rFonts w:hint="default" w:eastAsia="宋体" w:cs="Times New Roman"/>
                <w:color w:val="5B9BD5" w:themeColor="accent1"/>
                <w:kern w:val="0"/>
                <w:sz w:val="21"/>
                <w:szCs w:val="21"/>
                <w:lang w:val="en-US" w:eastAsia="zh-CN"/>
                <w14:textFill>
                  <w14:solidFill>
                    <w14:schemeClr w14:val="accent1"/>
                  </w14:solidFill>
                </w14:textFill>
              </w:rPr>
            </w:pPr>
          </w:p>
        </w:tc>
        <w:tc>
          <w:tcPr>
            <w:tcW w:w="1134" w:type="dxa"/>
            <w:tcBorders>
              <w:top w:val="nil"/>
              <w:left w:val="nil"/>
              <w:bottom w:val="single" w:color="auto" w:sz="4" w:space="0"/>
              <w:right w:val="single" w:color="auto" w:sz="4" w:space="0"/>
            </w:tcBorders>
            <w:shd w:val="clear" w:color="auto" w:fill="auto"/>
            <w:vAlign w:val="center"/>
          </w:tcPr>
          <w:p w14:paraId="45B78C87">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6左右</w:t>
            </w:r>
          </w:p>
        </w:tc>
        <w:tc>
          <w:tcPr>
            <w:tcW w:w="851" w:type="dxa"/>
            <w:tcBorders>
              <w:top w:val="single" w:color="auto" w:sz="4" w:space="0"/>
              <w:left w:val="nil"/>
              <w:bottom w:val="single" w:color="auto" w:sz="4" w:space="0"/>
              <w:right w:val="single" w:color="auto" w:sz="4" w:space="0"/>
            </w:tcBorders>
            <w:vAlign w:val="center"/>
          </w:tcPr>
          <w:p w14:paraId="7A35297F">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2FDC7D51">
            <w:pPr>
              <w:widowControl/>
              <w:snapToGrid w:val="0"/>
              <w:jc w:val="center"/>
              <w:rPr>
                <w:rFonts w:eastAsia="宋体" w:cs="Times New Roman"/>
                <w:color w:val="000000"/>
                <w:kern w:val="0"/>
                <w:sz w:val="21"/>
                <w:szCs w:val="21"/>
              </w:rPr>
            </w:pPr>
          </w:p>
        </w:tc>
      </w:tr>
      <w:tr w14:paraId="2A75D04A">
        <w:tblPrEx>
          <w:tblCellMar>
            <w:top w:w="0" w:type="dxa"/>
            <w:left w:w="108" w:type="dxa"/>
            <w:bottom w:w="0" w:type="dxa"/>
            <w:right w:w="108" w:type="dxa"/>
          </w:tblCellMar>
        </w:tblPrEx>
        <w:trPr>
          <w:trHeight w:val="364"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28EC9307">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745B812">
            <w:pPr>
              <w:widowControl/>
              <w:snapToGrid w:val="0"/>
              <w:jc w:val="center"/>
              <w:rPr>
                <w:rFonts w:hint="default"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lang w:val="en-US" w:eastAsia="zh-CN"/>
              </w:rPr>
              <w:t>18</w:t>
            </w:r>
          </w:p>
        </w:tc>
        <w:tc>
          <w:tcPr>
            <w:tcW w:w="2835" w:type="dxa"/>
            <w:tcBorders>
              <w:top w:val="nil"/>
              <w:left w:val="nil"/>
              <w:bottom w:val="single" w:color="auto" w:sz="4" w:space="0"/>
              <w:right w:val="single" w:color="auto" w:sz="4" w:space="0"/>
            </w:tcBorders>
            <w:shd w:val="clear" w:color="auto" w:fill="auto"/>
            <w:vAlign w:val="center"/>
          </w:tcPr>
          <w:p w14:paraId="183BFB04">
            <w:pPr>
              <w:widowControl/>
              <w:snapToGrid w:val="0"/>
              <w:rPr>
                <w:rFonts w:eastAsia="宋体" w:cs="Times New Roman"/>
                <w:color w:val="000000"/>
                <w:kern w:val="0"/>
                <w:sz w:val="21"/>
                <w:szCs w:val="21"/>
              </w:rPr>
            </w:pPr>
            <w:r>
              <w:rPr>
                <w:rFonts w:hint="eastAsia" w:eastAsia="宋体" w:cs="Times New Roman"/>
                <w:color w:val="000000"/>
                <w:kern w:val="0"/>
                <w:sz w:val="21"/>
                <w:szCs w:val="21"/>
              </w:rPr>
              <w:t>民生支出增长率</w:t>
            </w:r>
          </w:p>
        </w:tc>
        <w:tc>
          <w:tcPr>
            <w:tcW w:w="850" w:type="dxa"/>
            <w:tcBorders>
              <w:top w:val="nil"/>
              <w:left w:val="nil"/>
              <w:bottom w:val="single" w:color="auto" w:sz="4" w:space="0"/>
              <w:right w:val="single" w:color="auto" w:sz="4" w:space="0"/>
            </w:tcBorders>
            <w:shd w:val="clear" w:color="auto" w:fill="auto"/>
            <w:vAlign w:val="center"/>
          </w:tcPr>
          <w:p w14:paraId="4B262A74">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58C38D5C">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lang w:val="en-US" w:eastAsia="zh-CN"/>
              </w:rPr>
              <w:t>7</w:t>
            </w:r>
            <w:r>
              <w:rPr>
                <w:rFonts w:hint="eastAsia" w:eastAsia="宋体" w:cs="Times New Roman"/>
                <w:color w:val="000000"/>
                <w:kern w:val="0"/>
                <w:sz w:val="21"/>
                <w:szCs w:val="21"/>
              </w:rPr>
              <w:t>5以上</w:t>
            </w:r>
          </w:p>
        </w:tc>
        <w:tc>
          <w:tcPr>
            <w:tcW w:w="1134" w:type="dxa"/>
            <w:tcBorders>
              <w:top w:val="nil"/>
              <w:left w:val="nil"/>
              <w:bottom w:val="single" w:color="auto" w:sz="4" w:space="0"/>
              <w:right w:val="single" w:color="auto" w:sz="4" w:space="0"/>
            </w:tcBorders>
            <w:shd w:val="clear" w:color="auto" w:fill="auto"/>
            <w:vAlign w:val="center"/>
          </w:tcPr>
          <w:p w14:paraId="0467A286">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4B1128F6">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210C4BA4">
            <w:pPr>
              <w:widowControl/>
              <w:snapToGrid w:val="0"/>
              <w:jc w:val="center"/>
              <w:rPr>
                <w:rFonts w:eastAsia="宋体" w:cs="Times New Roman"/>
                <w:color w:val="000000"/>
                <w:kern w:val="0"/>
                <w:sz w:val="21"/>
                <w:szCs w:val="21"/>
              </w:rPr>
            </w:pPr>
          </w:p>
        </w:tc>
      </w:tr>
      <w:tr w14:paraId="60D2CCB8">
        <w:tblPrEx>
          <w:tblCellMar>
            <w:top w:w="0" w:type="dxa"/>
            <w:left w:w="108" w:type="dxa"/>
            <w:bottom w:w="0" w:type="dxa"/>
            <w:right w:w="108" w:type="dxa"/>
          </w:tblCellMar>
        </w:tblPrEx>
        <w:trPr>
          <w:trHeight w:val="360"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63FC452D">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2E13DCA6">
            <w:pPr>
              <w:widowControl/>
              <w:snapToGrid w:val="0"/>
              <w:jc w:val="center"/>
              <w:rPr>
                <w:rFonts w:hint="eastAsia"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lang w:val="en-US" w:eastAsia="zh-CN"/>
              </w:rPr>
              <w:t>19</w:t>
            </w:r>
          </w:p>
        </w:tc>
        <w:tc>
          <w:tcPr>
            <w:tcW w:w="2835" w:type="dxa"/>
            <w:tcBorders>
              <w:top w:val="nil"/>
              <w:left w:val="nil"/>
              <w:bottom w:val="single" w:color="auto" w:sz="4" w:space="0"/>
              <w:right w:val="single" w:color="auto" w:sz="4" w:space="0"/>
            </w:tcBorders>
            <w:shd w:val="clear" w:color="auto" w:fill="auto"/>
            <w:vAlign w:val="center"/>
          </w:tcPr>
          <w:p w14:paraId="5ED8B6E2">
            <w:pPr>
              <w:widowControl/>
              <w:snapToGrid w:val="0"/>
              <w:rPr>
                <w:rFonts w:eastAsia="宋体" w:cs="Times New Roman"/>
                <w:color w:val="000000"/>
                <w:kern w:val="0"/>
                <w:sz w:val="21"/>
                <w:szCs w:val="21"/>
              </w:rPr>
            </w:pPr>
            <w:r>
              <w:rPr>
                <w:rFonts w:hint="eastAsia" w:eastAsia="宋体" w:cs="Times New Roman"/>
                <w:color w:val="000000"/>
                <w:kern w:val="0"/>
                <w:sz w:val="21"/>
                <w:szCs w:val="21"/>
              </w:rPr>
              <w:t>城镇调查失业率</w:t>
            </w:r>
          </w:p>
        </w:tc>
        <w:tc>
          <w:tcPr>
            <w:tcW w:w="850" w:type="dxa"/>
            <w:tcBorders>
              <w:top w:val="nil"/>
              <w:left w:val="nil"/>
              <w:bottom w:val="single" w:color="auto" w:sz="4" w:space="0"/>
              <w:right w:val="single" w:color="auto" w:sz="4" w:space="0"/>
            </w:tcBorders>
            <w:shd w:val="clear" w:color="auto" w:fill="auto"/>
            <w:vAlign w:val="center"/>
          </w:tcPr>
          <w:p w14:paraId="03D14DAE">
            <w:pPr>
              <w:widowControl/>
              <w:snapToGrid w:val="0"/>
              <w:jc w:val="center"/>
              <w:rPr>
                <w:rFonts w:eastAsia="宋体" w:cs="Times New Roman"/>
                <w:color w:val="000000"/>
                <w:kern w:val="0"/>
                <w:sz w:val="21"/>
                <w:szCs w:val="21"/>
              </w:rPr>
            </w:pPr>
            <w:r>
              <w:rPr>
                <w:rFonts w:eastAsia="宋体" w:cs="Times New Roman"/>
                <w:color w:val="000000"/>
                <w:kern w:val="0"/>
                <w:sz w:val="21"/>
                <w:szCs w:val="21"/>
              </w:rPr>
              <w:t>%</w:t>
            </w:r>
          </w:p>
        </w:tc>
        <w:tc>
          <w:tcPr>
            <w:tcW w:w="1134" w:type="dxa"/>
            <w:tcBorders>
              <w:top w:val="nil"/>
              <w:left w:val="nil"/>
              <w:bottom w:val="single" w:color="auto" w:sz="4" w:space="0"/>
              <w:right w:val="single" w:color="auto" w:sz="4" w:space="0"/>
            </w:tcBorders>
            <w:shd w:val="clear" w:color="auto" w:fill="auto"/>
            <w:vAlign w:val="center"/>
          </w:tcPr>
          <w:p w14:paraId="30103876">
            <w:pPr>
              <w:widowControl/>
              <w:snapToGrid w:val="0"/>
              <w:jc w:val="center"/>
              <w:rPr>
                <w:rFonts w:eastAsia="宋体" w:cs="Times New Roman"/>
                <w:color w:val="000000"/>
                <w:kern w:val="0"/>
                <w:sz w:val="21"/>
                <w:szCs w:val="21"/>
              </w:rPr>
            </w:pPr>
          </w:p>
        </w:tc>
        <w:tc>
          <w:tcPr>
            <w:tcW w:w="1134" w:type="dxa"/>
            <w:tcBorders>
              <w:top w:val="nil"/>
              <w:left w:val="nil"/>
              <w:bottom w:val="single" w:color="auto" w:sz="4" w:space="0"/>
              <w:right w:val="single" w:color="auto" w:sz="4" w:space="0"/>
            </w:tcBorders>
            <w:shd w:val="clear" w:color="auto" w:fill="auto"/>
            <w:vAlign w:val="center"/>
          </w:tcPr>
          <w:p w14:paraId="30C96FDF">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＜6</w:t>
            </w:r>
          </w:p>
        </w:tc>
        <w:tc>
          <w:tcPr>
            <w:tcW w:w="851" w:type="dxa"/>
            <w:tcBorders>
              <w:top w:val="single" w:color="auto" w:sz="4" w:space="0"/>
              <w:left w:val="nil"/>
              <w:bottom w:val="single" w:color="auto" w:sz="4" w:space="0"/>
              <w:right w:val="single" w:color="auto" w:sz="4" w:space="0"/>
            </w:tcBorders>
            <w:vAlign w:val="center"/>
          </w:tcPr>
          <w:p w14:paraId="030F7352">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约束性</w:t>
            </w:r>
          </w:p>
        </w:tc>
        <w:tc>
          <w:tcPr>
            <w:tcW w:w="730" w:type="dxa"/>
            <w:tcBorders>
              <w:top w:val="single" w:color="auto" w:sz="4" w:space="0"/>
              <w:left w:val="nil"/>
              <w:bottom w:val="single" w:color="auto" w:sz="4" w:space="0"/>
              <w:right w:val="single" w:color="auto" w:sz="4" w:space="0"/>
            </w:tcBorders>
            <w:vAlign w:val="center"/>
          </w:tcPr>
          <w:p w14:paraId="0D9A3809">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w:t>
            </w:r>
          </w:p>
        </w:tc>
      </w:tr>
      <w:tr w14:paraId="67F9E368">
        <w:tblPrEx>
          <w:tblCellMar>
            <w:top w:w="0" w:type="dxa"/>
            <w:left w:w="108" w:type="dxa"/>
            <w:bottom w:w="0" w:type="dxa"/>
            <w:right w:w="108" w:type="dxa"/>
          </w:tblCellMar>
        </w:tblPrEx>
        <w:trPr>
          <w:trHeight w:val="360" w:hRule="atLeast"/>
        </w:trPr>
        <w:tc>
          <w:tcPr>
            <w:tcW w:w="726" w:type="dxa"/>
            <w:vMerge w:val="continue"/>
            <w:tcBorders>
              <w:top w:val="single" w:color="auto" w:sz="4" w:space="0"/>
              <w:left w:val="single" w:color="auto" w:sz="4" w:space="0"/>
              <w:bottom w:val="single" w:color="auto" w:sz="4" w:space="0"/>
              <w:right w:val="single" w:color="auto" w:sz="4" w:space="0"/>
            </w:tcBorders>
            <w:vAlign w:val="center"/>
          </w:tcPr>
          <w:p w14:paraId="729CF901">
            <w:pPr>
              <w:widowControl/>
              <w:snapToGrid w:val="0"/>
              <w:jc w:val="left"/>
              <w:rPr>
                <w:rFonts w:eastAsia="宋体" w:cs="Times New Roman"/>
                <w:color w:val="000000"/>
                <w:kern w:val="0"/>
                <w:sz w:val="21"/>
                <w:szCs w:val="21"/>
              </w:rPr>
            </w:pPr>
          </w:p>
        </w:tc>
        <w:tc>
          <w:tcPr>
            <w:tcW w:w="709" w:type="dxa"/>
            <w:tcBorders>
              <w:top w:val="nil"/>
              <w:left w:val="nil"/>
              <w:bottom w:val="single" w:color="auto" w:sz="4" w:space="0"/>
              <w:right w:val="single" w:color="auto" w:sz="4" w:space="0"/>
            </w:tcBorders>
            <w:shd w:val="clear" w:color="auto" w:fill="auto"/>
            <w:vAlign w:val="center"/>
          </w:tcPr>
          <w:p w14:paraId="06900A67">
            <w:pPr>
              <w:widowControl/>
              <w:snapToGrid w:val="0"/>
              <w:jc w:val="center"/>
              <w:rPr>
                <w:rFonts w:hint="default" w:ascii="Times New Roman" w:hAnsi="Times New Roman" w:eastAsia="宋体" w:cs="Times New Roman"/>
                <w:color w:val="000000"/>
                <w:kern w:val="0"/>
                <w:sz w:val="21"/>
                <w:szCs w:val="21"/>
                <w:lang w:val="en-US" w:eastAsia="zh-CN" w:bidi="ar-SA"/>
              </w:rPr>
            </w:pPr>
            <w:r>
              <w:rPr>
                <w:rFonts w:hint="eastAsia" w:eastAsia="宋体" w:cs="Times New Roman"/>
                <w:color w:val="000000"/>
                <w:kern w:val="0"/>
                <w:sz w:val="21"/>
                <w:szCs w:val="21"/>
              </w:rPr>
              <w:t>2</w:t>
            </w:r>
            <w:r>
              <w:rPr>
                <w:rFonts w:hint="eastAsia" w:eastAsia="宋体" w:cs="Times New Roman"/>
                <w:color w:val="000000"/>
                <w:kern w:val="0"/>
                <w:sz w:val="21"/>
                <w:szCs w:val="21"/>
                <w:lang w:val="en-US" w:eastAsia="zh-CN"/>
              </w:rPr>
              <w:t>0</w:t>
            </w:r>
          </w:p>
        </w:tc>
        <w:tc>
          <w:tcPr>
            <w:tcW w:w="2835" w:type="dxa"/>
            <w:tcBorders>
              <w:top w:val="nil"/>
              <w:left w:val="nil"/>
              <w:bottom w:val="single" w:color="auto" w:sz="4" w:space="0"/>
              <w:right w:val="single" w:color="auto" w:sz="4" w:space="0"/>
            </w:tcBorders>
            <w:shd w:val="clear" w:color="auto" w:fill="auto"/>
            <w:vAlign w:val="center"/>
          </w:tcPr>
          <w:p w14:paraId="10A8F5E0">
            <w:pPr>
              <w:widowControl/>
              <w:snapToGrid w:val="0"/>
              <w:rPr>
                <w:rFonts w:eastAsia="宋体" w:cs="Times New Roman"/>
                <w:color w:val="000000"/>
                <w:kern w:val="0"/>
                <w:sz w:val="21"/>
                <w:szCs w:val="21"/>
              </w:rPr>
            </w:pPr>
            <w:r>
              <w:rPr>
                <w:rFonts w:hint="eastAsia" w:eastAsia="宋体" w:cs="Times New Roman"/>
                <w:color w:val="000000"/>
                <w:kern w:val="0"/>
                <w:sz w:val="21"/>
                <w:szCs w:val="21"/>
              </w:rPr>
              <w:t>城镇新增就业人数</w:t>
            </w:r>
          </w:p>
        </w:tc>
        <w:tc>
          <w:tcPr>
            <w:tcW w:w="850" w:type="dxa"/>
            <w:tcBorders>
              <w:top w:val="nil"/>
              <w:left w:val="nil"/>
              <w:bottom w:val="single" w:color="auto" w:sz="4" w:space="0"/>
              <w:right w:val="single" w:color="auto" w:sz="4" w:space="0"/>
            </w:tcBorders>
            <w:shd w:val="clear" w:color="auto" w:fill="auto"/>
            <w:vAlign w:val="center"/>
          </w:tcPr>
          <w:p w14:paraId="2327926E">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万人</w:t>
            </w:r>
          </w:p>
        </w:tc>
        <w:tc>
          <w:tcPr>
            <w:tcW w:w="1134" w:type="dxa"/>
            <w:tcBorders>
              <w:top w:val="nil"/>
              <w:left w:val="nil"/>
              <w:bottom w:val="single" w:color="auto" w:sz="4" w:space="0"/>
              <w:right w:val="single" w:color="auto" w:sz="4" w:space="0"/>
            </w:tcBorders>
            <w:shd w:val="clear" w:color="auto" w:fill="auto"/>
            <w:vAlign w:val="center"/>
          </w:tcPr>
          <w:p w14:paraId="18BF6C67">
            <w:pPr>
              <w:widowControl/>
              <w:snapToGrid w:val="0"/>
              <w:jc w:val="center"/>
              <w:rPr>
                <w:rFonts w:hint="default" w:eastAsia="宋体" w:cs="Times New Roman"/>
                <w:color w:val="000000"/>
                <w:kern w:val="0"/>
                <w:sz w:val="21"/>
                <w:szCs w:val="21"/>
                <w:lang w:val="en-US" w:eastAsia="zh-CN"/>
              </w:rPr>
            </w:pPr>
            <w:r>
              <w:rPr>
                <w:rFonts w:hint="eastAsia" w:eastAsia="宋体" w:cs="Times New Roman"/>
                <w:color w:val="000000"/>
                <w:kern w:val="0"/>
                <w:sz w:val="21"/>
                <w:szCs w:val="21"/>
                <w:lang w:val="en-US" w:eastAsia="zh-CN"/>
              </w:rPr>
              <w:t>3.67</w:t>
            </w:r>
          </w:p>
        </w:tc>
        <w:tc>
          <w:tcPr>
            <w:tcW w:w="1134" w:type="dxa"/>
            <w:tcBorders>
              <w:top w:val="nil"/>
              <w:left w:val="nil"/>
              <w:bottom w:val="single" w:color="auto" w:sz="4" w:space="0"/>
              <w:right w:val="single" w:color="auto" w:sz="4" w:space="0"/>
            </w:tcBorders>
            <w:shd w:val="clear" w:color="auto" w:fill="auto"/>
            <w:vAlign w:val="center"/>
          </w:tcPr>
          <w:p w14:paraId="120BDCB0">
            <w:pPr>
              <w:widowControl/>
              <w:snapToGrid w:val="0"/>
              <w:jc w:val="center"/>
              <w:rPr>
                <w:rFonts w:eastAsia="宋体" w:cs="Times New Roman"/>
                <w:color w:val="000000"/>
                <w:kern w:val="0"/>
                <w:sz w:val="21"/>
                <w:szCs w:val="21"/>
              </w:rPr>
            </w:pPr>
          </w:p>
        </w:tc>
        <w:tc>
          <w:tcPr>
            <w:tcW w:w="851" w:type="dxa"/>
            <w:tcBorders>
              <w:top w:val="single" w:color="auto" w:sz="4" w:space="0"/>
              <w:left w:val="nil"/>
              <w:bottom w:val="single" w:color="auto" w:sz="4" w:space="0"/>
              <w:right w:val="single" w:color="auto" w:sz="4" w:space="0"/>
            </w:tcBorders>
            <w:vAlign w:val="center"/>
          </w:tcPr>
          <w:p w14:paraId="213C3341">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预期性</w:t>
            </w:r>
          </w:p>
        </w:tc>
        <w:tc>
          <w:tcPr>
            <w:tcW w:w="730" w:type="dxa"/>
            <w:tcBorders>
              <w:top w:val="single" w:color="auto" w:sz="4" w:space="0"/>
              <w:left w:val="nil"/>
              <w:bottom w:val="single" w:color="auto" w:sz="4" w:space="0"/>
              <w:right w:val="single" w:color="auto" w:sz="4" w:space="0"/>
            </w:tcBorders>
            <w:vAlign w:val="center"/>
          </w:tcPr>
          <w:p w14:paraId="73AFF5CF">
            <w:pPr>
              <w:widowControl/>
              <w:snapToGrid w:val="0"/>
              <w:jc w:val="center"/>
              <w:rPr>
                <w:rFonts w:eastAsia="宋体" w:cs="Times New Roman"/>
                <w:color w:val="000000"/>
                <w:kern w:val="0"/>
                <w:sz w:val="21"/>
                <w:szCs w:val="21"/>
              </w:rPr>
            </w:pPr>
            <w:r>
              <w:rPr>
                <w:rFonts w:hint="eastAsia" w:eastAsia="宋体" w:cs="Times New Roman"/>
                <w:color w:val="000000"/>
                <w:kern w:val="0"/>
                <w:sz w:val="21"/>
                <w:szCs w:val="21"/>
              </w:rPr>
              <w:t>累计</w:t>
            </w:r>
          </w:p>
        </w:tc>
      </w:tr>
    </w:tbl>
    <w:p w14:paraId="1FE2BB8C">
      <w:pPr>
        <w:pStyle w:val="12"/>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Chars="0" w:firstLine="640" w:firstLineChars="200"/>
        <w:jc w:val="center"/>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第二章  推动经济高质量发展，建设现代产业新格局</w:t>
      </w:r>
    </w:p>
    <w:p w14:paraId="558B5BAF">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auto"/>
          <w:sz w:val="32"/>
          <w:szCs w:val="32"/>
          <w:lang w:eastAsia="zh-CN"/>
        </w:rPr>
        <w:t>依据我区产业基础和优势，持续不断开展产业攻坚行动，大力抓好招商引资和项目建设，形成对全区经济发展具有强力支撑作用的产业体系。</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p>
    <w:p w14:paraId="7C6173D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第一节  大力发展现代新型工业</w:t>
      </w:r>
    </w:p>
    <w:p w14:paraId="70DBF835">
      <w:pPr>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_GB2312" w:hAnsi="仿宋" w:eastAsia="仿宋_GB2312" w:cs="宋体"/>
          <w:b w:val="0"/>
          <w:bCs/>
          <w:color w:val="000000"/>
          <w:kern w:val="0"/>
          <w:sz w:val="32"/>
          <w:szCs w:val="32"/>
          <w:lang w:eastAsia="zh-CN"/>
        </w:rPr>
      </w:pPr>
      <w:r>
        <w:rPr>
          <w:rFonts w:hint="eastAsia" w:ascii="仿宋" w:hAnsi="仿宋" w:eastAsia="仿宋" w:cs="仿宋"/>
          <w:sz w:val="32"/>
          <w:szCs w:val="32"/>
          <w:lang w:eastAsia="zh-CN"/>
        </w:rPr>
        <w:t>充分发挥我区工业基础设施完备，主导产业清晰，闲置厂房、场地、设备、技术人才多，园区承载能力强等优势，按照“六个一批”的发展思路，扎实推进“三个三”计划，统筹实施“抓大壮小扶微”工程，推动工业产</w:t>
      </w:r>
      <w:r>
        <w:rPr>
          <w:rFonts w:hint="eastAsia" w:ascii="仿宋" w:hAnsi="仿宋" w:eastAsia="仿宋" w:cs="仿宋"/>
          <w:sz w:val="32"/>
          <w:szCs w:val="32"/>
          <w:highlight w:val="none"/>
          <w:lang w:eastAsia="zh-CN"/>
        </w:rPr>
        <w:t>业技术不断升级，结构更加优化，主导产业规模迅速扩大，成为我区</w:t>
      </w:r>
      <w:r>
        <w:rPr>
          <w:rFonts w:hint="eastAsia" w:ascii="仿宋" w:hAnsi="仿宋" w:eastAsia="仿宋" w:cs="仿宋"/>
          <w:sz w:val="32"/>
          <w:szCs w:val="32"/>
          <w:lang w:eastAsia="zh-CN"/>
        </w:rPr>
        <w:t>经济发展的重要支撑。生物医药、装备制造和新材料三个</w:t>
      </w:r>
      <w:r>
        <w:rPr>
          <w:rFonts w:hint="eastAsia" w:ascii="仿宋" w:hAnsi="仿宋" w:eastAsia="仿宋" w:cs="仿宋"/>
          <w:sz w:val="32"/>
          <w:szCs w:val="32"/>
          <w:lang w:val="en-US" w:eastAsia="zh-CN"/>
        </w:rPr>
        <w:t>主导</w:t>
      </w:r>
      <w:r>
        <w:rPr>
          <w:rFonts w:hint="eastAsia" w:ascii="仿宋" w:hAnsi="仿宋" w:eastAsia="仿宋" w:cs="仿宋"/>
          <w:sz w:val="32"/>
          <w:szCs w:val="32"/>
          <w:lang w:eastAsia="zh-CN"/>
        </w:rPr>
        <w:t>产业形成</w:t>
      </w:r>
      <w:r>
        <w:rPr>
          <w:rFonts w:hint="eastAsia" w:ascii="仿宋" w:hAnsi="仿宋" w:eastAsia="仿宋" w:cs="仿宋"/>
          <w:sz w:val="32"/>
          <w:szCs w:val="32"/>
          <w:lang w:val="en-US" w:eastAsia="zh-CN"/>
        </w:rPr>
        <w:t>10亿级规模</w:t>
      </w:r>
      <w:r>
        <w:rPr>
          <w:rFonts w:hint="eastAsia" w:ascii="仿宋" w:hAnsi="仿宋" w:eastAsia="仿宋" w:cs="仿宋"/>
          <w:sz w:val="32"/>
          <w:szCs w:val="32"/>
          <w:lang w:eastAsia="zh-CN"/>
        </w:rPr>
        <w:t>，</w:t>
      </w:r>
      <w:r>
        <w:rPr>
          <w:rFonts w:hint="eastAsia" w:ascii="仿宋_GB2312" w:hAnsi="仿宋" w:eastAsia="仿宋_GB2312"/>
          <w:sz w:val="32"/>
          <w:szCs w:val="32"/>
          <w:lang w:eastAsia="zh-CN"/>
        </w:rPr>
        <w:t>林纸</w:t>
      </w:r>
      <w:r>
        <w:rPr>
          <w:rFonts w:hint="eastAsia" w:ascii="仿宋_GB2312" w:hAnsi="仿宋" w:eastAsia="仿宋_GB2312"/>
          <w:sz w:val="32"/>
          <w:szCs w:val="32"/>
        </w:rPr>
        <w:t>产业</w:t>
      </w:r>
      <w:r>
        <w:rPr>
          <w:rFonts w:hint="eastAsia" w:ascii="仿宋_GB2312" w:hAnsi="仿宋" w:eastAsia="仿宋_GB2312"/>
          <w:sz w:val="32"/>
          <w:szCs w:val="32"/>
          <w:lang w:eastAsia="zh-CN"/>
        </w:rPr>
        <w:t>跃进全国前列，</w:t>
      </w:r>
      <w:r>
        <w:rPr>
          <w:rFonts w:hint="eastAsia" w:ascii="仿宋" w:hAnsi="仿宋" w:eastAsia="仿宋" w:cs="仿宋"/>
          <w:sz w:val="32"/>
          <w:szCs w:val="32"/>
        </w:rPr>
        <w:t>绿色食品</w:t>
      </w:r>
      <w:r>
        <w:rPr>
          <w:rFonts w:hint="eastAsia" w:ascii="仿宋" w:hAnsi="仿宋" w:eastAsia="仿宋" w:cs="仿宋"/>
          <w:sz w:val="32"/>
          <w:szCs w:val="32"/>
          <w:lang w:eastAsia="zh-CN"/>
        </w:rPr>
        <w:t>产业抢占全国高端，</w:t>
      </w:r>
      <w:r>
        <w:rPr>
          <w:rFonts w:hint="eastAsia" w:ascii="仿宋_GB2312" w:hAnsi="仿宋" w:eastAsia="仿宋_GB2312" w:cs="宋体"/>
          <w:b w:val="0"/>
          <w:bCs/>
          <w:color w:val="000000"/>
          <w:kern w:val="0"/>
          <w:sz w:val="32"/>
          <w:szCs w:val="32"/>
          <w:lang w:eastAsia="zh-CN"/>
        </w:rPr>
        <w:t>新能源、节能环保等新兴产业规模位居全省前列。</w:t>
      </w:r>
    </w:p>
    <w:p w14:paraId="41994D10">
      <w:pPr>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ascii="仿宋" w:hAnsi="仿宋" w:eastAsia="仿宋" w:cs="仿宋"/>
          <w:sz w:val="32"/>
          <w:szCs w:val="32"/>
        </w:rPr>
      </w:pPr>
      <w:r>
        <w:rPr>
          <w:rFonts w:hint="eastAsia" w:ascii="仿宋" w:hAnsi="仿宋" w:eastAsia="仿宋" w:cs="仿宋"/>
          <w:b/>
          <w:bCs/>
          <w:sz w:val="32"/>
          <w:szCs w:val="32"/>
          <w:lang w:eastAsia="zh-CN"/>
        </w:rPr>
        <w:t>做大生物医药产业。</w:t>
      </w:r>
      <w:r>
        <w:rPr>
          <w:rFonts w:hint="eastAsia" w:ascii="仿宋" w:hAnsi="仿宋" w:eastAsia="仿宋" w:cs="仿宋"/>
          <w:color w:val="auto"/>
          <w:sz w:val="32"/>
          <w:szCs w:val="32"/>
          <w:lang w:val="en-US" w:eastAsia="zh-CN"/>
        </w:rPr>
        <w:t>力争到2025年，实现10亿级产业规模。对医药产业上下游配套企业进行梳理研究，完善产业链“图谱”和供应链“家谱”，延长、补充产业链条，</w:t>
      </w:r>
      <w:r>
        <w:rPr>
          <w:rFonts w:hint="eastAsia" w:ascii="仿宋" w:hAnsi="仿宋" w:eastAsia="仿宋" w:cs="仿宋"/>
          <w:sz w:val="32"/>
          <w:szCs w:val="32"/>
        </w:rPr>
        <w:t>招引北药</w:t>
      </w:r>
      <w:r>
        <w:rPr>
          <w:rFonts w:hint="eastAsia" w:ascii="仿宋" w:hAnsi="仿宋" w:eastAsia="仿宋" w:cs="仿宋"/>
          <w:sz w:val="32"/>
          <w:szCs w:val="32"/>
          <w:lang w:eastAsia="zh-CN"/>
        </w:rPr>
        <w:t>深加工和</w:t>
      </w:r>
      <w:r>
        <w:rPr>
          <w:rFonts w:hint="eastAsia" w:ascii="仿宋" w:hAnsi="仿宋" w:eastAsia="仿宋" w:cs="仿宋"/>
          <w:sz w:val="32"/>
          <w:szCs w:val="32"/>
        </w:rPr>
        <w:t>生物制药企业</w:t>
      </w:r>
      <w:r>
        <w:rPr>
          <w:rFonts w:hint="eastAsia" w:ascii="仿宋" w:hAnsi="仿宋" w:eastAsia="仿宋" w:cs="仿宋"/>
          <w:color w:val="auto"/>
          <w:sz w:val="32"/>
          <w:szCs w:val="32"/>
          <w:lang w:val="en-US" w:eastAsia="zh-CN"/>
        </w:rPr>
        <w:t>。开展药号合作、整体重组，推动制药企业裂变扩张。</w:t>
      </w:r>
      <w:r>
        <w:rPr>
          <w:rFonts w:hint="eastAsia" w:ascii="仿宋" w:hAnsi="仿宋" w:eastAsia="仿宋" w:cs="仿宋"/>
          <w:sz w:val="32"/>
          <w:szCs w:val="32"/>
          <w:lang w:eastAsia="zh-CN"/>
        </w:rPr>
        <w:t>加快</w:t>
      </w:r>
      <w:r>
        <w:rPr>
          <w:rFonts w:hint="eastAsia" w:ascii="仿宋" w:hAnsi="仿宋" w:eastAsia="仿宋" w:cs="仿宋"/>
          <w:sz w:val="32"/>
          <w:szCs w:val="32"/>
        </w:rPr>
        <w:t>推进灵泰药业</w:t>
      </w:r>
      <w:r>
        <w:rPr>
          <w:rFonts w:hint="eastAsia" w:ascii="仿宋" w:hAnsi="仿宋" w:eastAsia="仿宋" w:cs="仿宋"/>
          <w:sz w:val="32"/>
          <w:szCs w:val="32"/>
          <w:lang w:eastAsia="zh-CN"/>
        </w:rPr>
        <w:t>裂变升级。深入抓好</w:t>
      </w:r>
      <w:r>
        <w:rPr>
          <w:rFonts w:hint="eastAsia" w:ascii="仿宋" w:hAnsi="仿宋" w:eastAsia="仿宋" w:cs="仿宋"/>
          <w:sz w:val="32"/>
          <w:szCs w:val="32"/>
        </w:rPr>
        <w:t>富硒产品</w:t>
      </w:r>
      <w:r>
        <w:rPr>
          <w:rFonts w:hint="eastAsia" w:ascii="仿宋" w:hAnsi="仿宋" w:eastAsia="仿宋" w:cs="仿宋"/>
          <w:sz w:val="32"/>
          <w:szCs w:val="32"/>
          <w:lang w:eastAsia="zh-CN"/>
        </w:rPr>
        <w:t>项目建设</w:t>
      </w:r>
      <w:r>
        <w:rPr>
          <w:rFonts w:hint="eastAsia" w:ascii="仿宋" w:hAnsi="仿宋" w:eastAsia="仿宋" w:cs="仿宋"/>
          <w:sz w:val="32"/>
          <w:szCs w:val="32"/>
        </w:rPr>
        <w:t>，</w:t>
      </w:r>
      <w:r>
        <w:rPr>
          <w:rFonts w:hint="eastAsia" w:ascii="仿宋" w:hAnsi="仿宋" w:eastAsia="仿宋" w:cs="仿宋"/>
          <w:sz w:val="32"/>
          <w:szCs w:val="32"/>
          <w:lang w:eastAsia="zh-CN"/>
        </w:rPr>
        <w:t>扩大西</w:t>
      </w:r>
      <w:r>
        <w:rPr>
          <w:rFonts w:hint="eastAsia" w:ascii="仿宋" w:hAnsi="仿宋" w:eastAsia="仿宋" w:cs="仿宋"/>
          <w:sz w:val="32"/>
          <w:szCs w:val="32"/>
        </w:rPr>
        <w:t>维尔</w:t>
      </w:r>
      <w:r>
        <w:rPr>
          <w:rFonts w:hint="eastAsia" w:ascii="仿宋" w:hAnsi="仿宋" w:eastAsia="仿宋" w:cs="仿宋"/>
          <w:sz w:val="32"/>
          <w:szCs w:val="32"/>
          <w:lang w:val="en-US" w:eastAsia="zh-CN"/>
        </w:rPr>
        <w:t>OTC</w:t>
      </w:r>
      <w:r>
        <w:rPr>
          <w:rFonts w:hint="eastAsia" w:ascii="仿宋" w:hAnsi="仿宋" w:eastAsia="仿宋" w:cs="仿宋"/>
          <w:sz w:val="32"/>
          <w:szCs w:val="32"/>
        </w:rPr>
        <w:t>市场份额，</w:t>
      </w:r>
      <w:r>
        <w:rPr>
          <w:rFonts w:hint="eastAsia" w:ascii="仿宋" w:hAnsi="仿宋" w:eastAsia="仿宋" w:cs="仿宋"/>
          <w:sz w:val="32"/>
          <w:szCs w:val="32"/>
          <w:lang w:eastAsia="zh-CN"/>
        </w:rPr>
        <w:t>打造富硒肥、富硒保健品知名品牌，</w:t>
      </w:r>
      <w:r>
        <w:rPr>
          <w:rFonts w:hint="eastAsia" w:ascii="仿宋" w:hAnsi="仿宋" w:eastAsia="仿宋" w:cs="仿宋"/>
          <w:sz w:val="32"/>
          <w:szCs w:val="32"/>
        </w:rPr>
        <w:t>延长富硒产品产业链。</w:t>
      </w:r>
      <w:r>
        <w:rPr>
          <w:rFonts w:hint="eastAsia" w:ascii="仿宋" w:hAnsi="仿宋" w:eastAsia="仿宋" w:cs="仿宋"/>
          <w:sz w:val="32"/>
          <w:szCs w:val="32"/>
          <w:lang w:eastAsia="zh-CN"/>
        </w:rPr>
        <w:t>加强</w:t>
      </w:r>
      <w:r>
        <w:rPr>
          <w:rFonts w:hint="eastAsia" w:ascii="仿宋" w:hAnsi="仿宋" w:eastAsia="仿宋" w:cs="仿宋"/>
          <w:sz w:val="32"/>
          <w:szCs w:val="32"/>
        </w:rPr>
        <w:t>与</w:t>
      </w:r>
      <w:r>
        <w:rPr>
          <w:rFonts w:hint="eastAsia" w:ascii="仿宋" w:hAnsi="仿宋" w:eastAsia="仿宋" w:cs="仿宋"/>
          <w:sz w:val="32"/>
          <w:szCs w:val="32"/>
          <w:lang w:eastAsia="zh-CN"/>
        </w:rPr>
        <w:t>知名药企</w:t>
      </w:r>
      <w:r>
        <w:rPr>
          <w:rFonts w:hint="eastAsia" w:ascii="仿宋" w:hAnsi="仿宋" w:eastAsia="仿宋" w:cs="仿宋"/>
          <w:sz w:val="32"/>
          <w:szCs w:val="32"/>
        </w:rPr>
        <w:t>合作</w:t>
      </w:r>
      <w:r>
        <w:rPr>
          <w:rFonts w:hint="eastAsia" w:ascii="仿宋" w:hAnsi="仿宋" w:eastAsia="仿宋" w:cs="仿宋"/>
          <w:sz w:val="32"/>
          <w:szCs w:val="32"/>
          <w:lang w:eastAsia="zh-CN"/>
        </w:rPr>
        <w:t>，尽快盘活闲置药号，促进新项目落地投产</w:t>
      </w:r>
      <w:r>
        <w:rPr>
          <w:rFonts w:hint="eastAsia" w:ascii="仿宋" w:hAnsi="仿宋" w:eastAsia="仿宋" w:cs="仿宋"/>
          <w:sz w:val="32"/>
          <w:szCs w:val="32"/>
        </w:rPr>
        <w:t>。加快推进恒远药业</w:t>
      </w:r>
      <w:r>
        <w:rPr>
          <w:rFonts w:hint="eastAsia" w:ascii="仿宋" w:hAnsi="仿宋" w:eastAsia="仿宋" w:cs="仿宋"/>
          <w:sz w:val="32"/>
          <w:szCs w:val="32"/>
          <w:lang w:eastAsia="zh-CN"/>
        </w:rPr>
        <w:t>产能翻番。促进研发平台和扩能改造项目快速投产达效，尽快</w:t>
      </w:r>
      <w:r>
        <w:rPr>
          <w:rFonts w:hint="eastAsia" w:ascii="仿宋" w:hAnsi="仿宋" w:eastAsia="仿宋" w:cs="仿宋"/>
          <w:sz w:val="32"/>
          <w:szCs w:val="32"/>
        </w:rPr>
        <w:t>通过</w:t>
      </w:r>
      <w:r>
        <w:rPr>
          <w:rFonts w:hint="eastAsia" w:ascii="仿宋" w:hAnsi="仿宋" w:eastAsia="仿宋" w:cs="仿宋"/>
          <w:sz w:val="32"/>
          <w:szCs w:val="32"/>
          <w:lang w:eastAsia="zh-CN"/>
        </w:rPr>
        <w:t>欧洲</w:t>
      </w:r>
      <w:r>
        <w:rPr>
          <w:rFonts w:hint="eastAsia" w:ascii="仿宋" w:hAnsi="仿宋" w:eastAsia="仿宋" w:cs="仿宋"/>
          <w:sz w:val="32"/>
          <w:szCs w:val="32"/>
        </w:rPr>
        <w:t>GMP认证，进驻欧美市场，抢占国际市场份额</w:t>
      </w:r>
      <w:r>
        <w:rPr>
          <w:rFonts w:hint="eastAsia" w:ascii="仿宋" w:hAnsi="仿宋" w:eastAsia="仿宋" w:cs="仿宋"/>
          <w:sz w:val="32"/>
          <w:szCs w:val="32"/>
          <w:lang w:eastAsia="zh-CN"/>
        </w:rPr>
        <w:t>。</w:t>
      </w:r>
      <w:r>
        <w:rPr>
          <w:rFonts w:hint="eastAsia" w:ascii="仿宋" w:hAnsi="仿宋" w:eastAsia="仿宋" w:cs="仿宋"/>
          <w:sz w:val="32"/>
          <w:szCs w:val="32"/>
        </w:rPr>
        <w:t>推动仁合堂药业提升新产品销售比例</w:t>
      </w:r>
      <w:r>
        <w:rPr>
          <w:rFonts w:hint="eastAsia" w:ascii="仿宋" w:hAnsi="仿宋" w:eastAsia="仿宋" w:cs="仿宋"/>
          <w:sz w:val="32"/>
          <w:szCs w:val="32"/>
          <w:lang w:eastAsia="zh-CN"/>
        </w:rPr>
        <w:t>。</w:t>
      </w:r>
      <w:r>
        <w:rPr>
          <w:rFonts w:hint="eastAsia" w:ascii="仿宋" w:hAnsi="仿宋" w:eastAsia="仿宋" w:cs="仿宋"/>
          <w:sz w:val="32"/>
          <w:szCs w:val="32"/>
        </w:rPr>
        <w:t>加快保健品</w:t>
      </w:r>
      <w:r>
        <w:rPr>
          <w:rFonts w:hint="eastAsia" w:ascii="仿宋" w:hAnsi="仿宋" w:eastAsia="仿宋" w:cs="仿宋"/>
          <w:sz w:val="32"/>
          <w:szCs w:val="32"/>
          <w:lang w:eastAsia="zh-CN"/>
        </w:rPr>
        <w:t>、功能食品</w:t>
      </w:r>
      <w:r>
        <w:rPr>
          <w:rFonts w:hint="eastAsia" w:ascii="仿宋" w:hAnsi="仿宋" w:eastAsia="仿宋" w:cs="仿宋"/>
          <w:sz w:val="32"/>
          <w:szCs w:val="32"/>
        </w:rPr>
        <w:t>等项目建设，</w:t>
      </w:r>
      <w:r>
        <w:rPr>
          <w:rFonts w:hint="eastAsia" w:ascii="仿宋" w:hAnsi="仿宋" w:eastAsia="仿宋" w:cs="仿宋"/>
          <w:sz w:val="32"/>
          <w:szCs w:val="32"/>
          <w:lang w:eastAsia="zh-CN"/>
        </w:rPr>
        <w:t>迅速扩大国内外</w:t>
      </w:r>
      <w:r>
        <w:rPr>
          <w:rFonts w:hint="eastAsia" w:ascii="仿宋" w:hAnsi="仿宋" w:eastAsia="仿宋" w:cs="仿宋"/>
          <w:sz w:val="32"/>
          <w:szCs w:val="32"/>
        </w:rPr>
        <w:t>市场。</w:t>
      </w:r>
      <w:r>
        <w:rPr>
          <w:rFonts w:hint="eastAsia" w:ascii="仿宋" w:hAnsi="仿宋" w:eastAsia="仿宋" w:cs="仿宋"/>
          <w:sz w:val="32"/>
          <w:szCs w:val="32"/>
          <w:lang w:eastAsia="zh-CN"/>
        </w:rPr>
        <w:t>推动黑宝药业再现辉煌。助推</w:t>
      </w:r>
      <w:r>
        <w:rPr>
          <w:rFonts w:hint="eastAsia" w:ascii="仿宋" w:hAnsi="仿宋" w:eastAsia="仿宋" w:cs="仿宋"/>
          <w:sz w:val="32"/>
          <w:szCs w:val="32"/>
        </w:rPr>
        <w:t>黑宝药业</w:t>
      </w:r>
      <w:r>
        <w:rPr>
          <w:rFonts w:hint="eastAsia" w:ascii="仿宋" w:hAnsi="仿宋" w:eastAsia="仿宋" w:cs="仿宋"/>
          <w:sz w:val="32"/>
          <w:szCs w:val="32"/>
          <w:lang w:eastAsia="zh-CN"/>
        </w:rPr>
        <w:t>靠大联强，</w:t>
      </w:r>
      <w:r>
        <w:rPr>
          <w:rFonts w:hint="eastAsia" w:ascii="仿宋" w:hAnsi="仿宋" w:eastAsia="仿宋" w:cs="仿宋"/>
          <w:sz w:val="32"/>
          <w:szCs w:val="32"/>
        </w:rPr>
        <w:t>合作重组，</w:t>
      </w:r>
      <w:r>
        <w:rPr>
          <w:rFonts w:hint="eastAsia" w:ascii="仿宋" w:hAnsi="仿宋" w:eastAsia="仿宋" w:cs="仿宋"/>
          <w:sz w:val="32"/>
          <w:szCs w:val="32"/>
          <w:lang w:eastAsia="zh-CN"/>
        </w:rPr>
        <w:t>改变企业经营管理模式。</w:t>
      </w:r>
      <w:r>
        <w:rPr>
          <w:rFonts w:hint="eastAsia" w:ascii="仿宋" w:hAnsi="仿宋" w:eastAsia="仿宋" w:cs="仿宋"/>
          <w:sz w:val="32"/>
          <w:szCs w:val="32"/>
        </w:rPr>
        <w:t>扩大与海王</w:t>
      </w:r>
      <w:r>
        <w:rPr>
          <w:rFonts w:hint="eastAsia" w:ascii="仿宋" w:hAnsi="仿宋" w:eastAsia="仿宋" w:cs="仿宋"/>
          <w:sz w:val="32"/>
          <w:szCs w:val="32"/>
          <w:lang w:eastAsia="zh-CN"/>
        </w:rPr>
        <w:t>药业集团</w:t>
      </w:r>
      <w:r>
        <w:rPr>
          <w:rFonts w:hint="eastAsia" w:ascii="仿宋" w:hAnsi="仿宋" w:eastAsia="仿宋" w:cs="仿宋"/>
          <w:sz w:val="32"/>
          <w:szCs w:val="32"/>
        </w:rPr>
        <w:t>合作</w:t>
      </w:r>
      <w:r>
        <w:rPr>
          <w:rFonts w:hint="eastAsia" w:ascii="仿宋" w:hAnsi="仿宋" w:eastAsia="仿宋" w:cs="仿宋"/>
          <w:sz w:val="32"/>
          <w:szCs w:val="32"/>
          <w:lang w:eastAsia="zh-CN"/>
        </w:rPr>
        <w:t>范围，</w:t>
      </w:r>
      <w:r>
        <w:rPr>
          <w:rFonts w:hint="eastAsia" w:ascii="仿宋" w:hAnsi="仿宋" w:eastAsia="仿宋" w:cs="仿宋"/>
          <w:sz w:val="32"/>
          <w:szCs w:val="32"/>
        </w:rPr>
        <w:t>推进茵陈口服液</w:t>
      </w:r>
      <w:r>
        <w:rPr>
          <w:rFonts w:hint="eastAsia" w:ascii="仿宋" w:hAnsi="仿宋" w:eastAsia="仿宋" w:cs="仿宋"/>
          <w:sz w:val="32"/>
          <w:szCs w:val="32"/>
          <w:lang w:eastAsia="zh-CN"/>
        </w:rPr>
        <w:t>项目建设，加大</w:t>
      </w:r>
      <w:r>
        <w:rPr>
          <w:rFonts w:hint="eastAsia" w:ascii="仿宋" w:hAnsi="仿宋" w:eastAsia="仿宋" w:cs="仿宋"/>
          <w:sz w:val="32"/>
          <w:szCs w:val="32"/>
        </w:rPr>
        <w:t>冻干粉</w:t>
      </w:r>
      <w:r>
        <w:rPr>
          <w:rFonts w:hint="eastAsia" w:ascii="仿宋" w:hAnsi="仿宋" w:eastAsia="仿宋" w:cs="仿宋"/>
          <w:sz w:val="32"/>
          <w:szCs w:val="32"/>
          <w:lang w:eastAsia="zh-CN"/>
        </w:rPr>
        <w:t>、熊胆粉</w:t>
      </w:r>
      <w:r>
        <w:rPr>
          <w:rFonts w:hint="eastAsia" w:ascii="仿宋" w:hAnsi="仿宋" w:eastAsia="仿宋" w:cs="仿宋"/>
          <w:sz w:val="32"/>
          <w:szCs w:val="32"/>
        </w:rPr>
        <w:t>推</w:t>
      </w:r>
      <w:r>
        <w:rPr>
          <w:rFonts w:hint="eastAsia" w:ascii="仿宋" w:hAnsi="仿宋" w:eastAsia="仿宋" w:cs="仿宋"/>
          <w:sz w:val="32"/>
          <w:szCs w:val="32"/>
          <w:lang w:eastAsia="zh-CN"/>
        </w:rPr>
        <w:t>广</w:t>
      </w:r>
      <w:r>
        <w:rPr>
          <w:rFonts w:hint="eastAsia" w:ascii="仿宋" w:hAnsi="仿宋" w:eastAsia="仿宋" w:cs="仿宋"/>
          <w:sz w:val="32"/>
          <w:szCs w:val="32"/>
        </w:rPr>
        <w:t>力度，</w:t>
      </w:r>
      <w:r>
        <w:rPr>
          <w:rFonts w:hint="eastAsia" w:ascii="仿宋" w:hAnsi="仿宋" w:eastAsia="仿宋" w:cs="仿宋"/>
          <w:sz w:val="32"/>
          <w:szCs w:val="32"/>
          <w:lang w:eastAsia="zh-CN"/>
        </w:rPr>
        <w:t>做大熊胆粉市场</w:t>
      </w:r>
      <w:r>
        <w:rPr>
          <w:rFonts w:hint="eastAsia" w:ascii="仿宋" w:hAnsi="仿宋" w:eastAsia="仿宋" w:cs="仿宋"/>
          <w:sz w:val="32"/>
          <w:szCs w:val="32"/>
        </w:rPr>
        <w:t>。</w:t>
      </w:r>
    </w:p>
    <w:p w14:paraId="64D53B7D">
      <w:pPr>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eastAsia="zh-CN"/>
        </w:rPr>
        <w:t>做大新材料</w:t>
      </w:r>
      <w:r>
        <w:rPr>
          <w:rFonts w:hint="eastAsia" w:ascii="仿宋" w:hAnsi="仿宋" w:eastAsia="仿宋" w:cs="仿宋"/>
          <w:b/>
          <w:bCs/>
          <w:sz w:val="32"/>
          <w:szCs w:val="32"/>
        </w:rPr>
        <w:t>产业</w:t>
      </w:r>
      <w:r>
        <w:rPr>
          <w:rFonts w:hint="eastAsia" w:ascii="仿宋" w:hAnsi="仿宋" w:eastAsia="仿宋" w:cs="仿宋"/>
          <w:b/>
          <w:bCs/>
          <w:sz w:val="32"/>
          <w:szCs w:val="32"/>
          <w:lang w:eastAsia="zh-CN"/>
        </w:rPr>
        <w:t>。</w:t>
      </w:r>
      <w:r>
        <w:rPr>
          <w:rFonts w:hint="eastAsia" w:ascii="仿宋" w:hAnsi="仿宋" w:eastAsia="仿宋" w:cs="仿宋"/>
          <w:color w:val="auto"/>
          <w:sz w:val="32"/>
          <w:szCs w:val="32"/>
          <w:lang w:val="en-US" w:eastAsia="zh-CN"/>
        </w:rPr>
        <w:t>到2025年，实现10亿级产业规模。</w:t>
      </w:r>
      <w:r>
        <w:rPr>
          <w:rFonts w:hint="eastAsia" w:ascii="仿宋" w:hAnsi="仿宋" w:eastAsia="仿宋" w:cs="仿宋"/>
          <w:sz w:val="32"/>
          <w:szCs w:val="32"/>
          <w:lang w:eastAsia="zh-CN"/>
        </w:rPr>
        <w:t>通过搭建化工产业承载平台、延伸产业化链条、合作重组等方式，促进新材料产业集聚发展。</w:t>
      </w:r>
      <w:r>
        <w:rPr>
          <w:rFonts w:hint="eastAsia" w:ascii="仿宋_GB2312" w:hAnsi="黑体" w:eastAsia="仿宋_GB2312" w:cs="Times New Roman"/>
          <w:b w:val="0"/>
          <w:bCs w:val="0"/>
          <w:kern w:val="0"/>
          <w:sz w:val="32"/>
          <w:szCs w:val="32"/>
          <w:lang w:val="en-US" w:eastAsia="zh-CN" w:bidi="ar-SA"/>
        </w:rPr>
        <w:t>延伸化工产业链条，借助大项目落地契机，招引</w:t>
      </w:r>
      <w:r>
        <w:rPr>
          <w:rFonts w:hint="eastAsia" w:ascii="仿宋_GB2312" w:hAnsi="黑体" w:eastAsia="仿宋_GB2312" w:cs="Times New Roman"/>
          <w:b w:val="0"/>
          <w:bCs w:val="0"/>
          <w:kern w:val="0"/>
          <w:sz w:val="32"/>
          <w:szCs w:val="32"/>
          <w:u w:val="none"/>
          <w:lang w:val="en-US" w:eastAsia="zh-CN" w:bidi="ar-SA"/>
        </w:rPr>
        <w:t>上下游吃配企业落户。</w:t>
      </w:r>
      <w:r>
        <w:rPr>
          <w:rFonts w:hint="eastAsia" w:ascii="仿宋" w:hAnsi="仿宋" w:eastAsia="仿宋" w:cs="仿宋"/>
          <w:sz w:val="32"/>
          <w:szCs w:val="32"/>
          <w:lang w:eastAsia="zh-CN"/>
        </w:rPr>
        <w:t>通过实施“三个三”计划，盘活东北高新、东北化工、鸿利化工等企业闲置资产。加快</w:t>
      </w:r>
      <w:r>
        <w:rPr>
          <w:rFonts w:hint="eastAsia" w:ascii="仿宋" w:hAnsi="仿宋" w:eastAsia="仿宋" w:cs="仿宋"/>
          <w:sz w:val="32"/>
          <w:szCs w:val="32"/>
        </w:rPr>
        <w:t>推进</w:t>
      </w:r>
      <w:r>
        <w:rPr>
          <w:rFonts w:hint="eastAsia" w:ascii="仿宋" w:hAnsi="仿宋" w:eastAsia="仿宋" w:cs="仿宋"/>
          <w:sz w:val="32"/>
          <w:szCs w:val="32"/>
          <w:lang w:eastAsia="zh-CN"/>
        </w:rPr>
        <w:t>重点企业扩大市场和产能。促进海迪科技年产</w:t>
      </w:r>
      <w:r>
        <w:rPr>
          <w:rFonts w:hint="eastAsia" w:ascii="仿宋" w:hAnsi="仿宋" w:eastAsia="仿宋" w:cs="仿宋"/>
          <w:sz w:val="32"/>
          <w:szCs w:val="32"/>
          <w:lang w:val="en-US" w:eastAsia="zh-CN"/>
        </w:rPr>
        <w:t>1000吨染料中间体</w:t>
      </w:r>
      <w:r>
        <w:rPr>
          <w:rFonts w:hint="eastAsia" w:ascii="仿宋" w:hAnsi="仿宋" w:eastAsia="仿宋" w:cs="仿宋"/>
          <w:sz w:val="32"/>
          <w:szCs w:val="32"/>
        </w:rPr>
        <w:t>、</w:t>
      </w:r>
      <w:r>
        <w:rPr>
          <w:rFonts w:hint="eastAsia" w:ascii="仿宋" w:hAnsi="仿宋" w:eastAsia="仿宋" w:cs="仿宋"/>
          <w:sz w:val="32"/>
          <w:szCs w:val="32"/>
          <w:lang w:eastAsia="zh-CN"/>
        </w:rPr>
        <w:t>晟顶科技年产</w:t>
      </w:r>
      <w:r>
        <w:rPr>
          <w:rFonts w:hint="eastAsia" w:ascii="仿宋" w:hAnsi="仿宋" w:eastAsia="仿宋" w:cs="仿宋"/>
          <w:sz w:val="32"/>
          <w:szCs w:val="32"/>
          <w:lang w:val="en-US" w:eastAsia="zh-CN"/>
        </w:rPr>
        <w:t>80万吨复合肥</w:t>
      </w:r>
      <w:r>
        <w:rPr>
          <w:rFonts w:hint="eastAsia" w:ascii="仿宋" w:hAnsi="仿宋" w:eastAsia="仿宋" w:cs="仿宋"/>
          <w:sz w:val="32"/>
          <w:szCs w:val="32"/>
        </w:rPr>
        <w:t>、</w:t>
      </w:r>
      <w:r>
        <w:rPr>
          <w:rFonts w:hint="eastAsia" w:ascii="仿宋" w:hAnsi="仿宋" w:eastAsia="仿宋" w:cs="仿宋"/>
          <w:sz w:val="32"/>
          <w:szCs w:val="32"/>
          <w:lang w:eastAsia="zh-CN"/>
        </w:rPr>
        <w:t>聚合氯化铝</w:t>
      </w:r>
      <w:r>
        <w:rPr>
          <w:rFonts w:hint="eastAsia" w:ascii="仿宋" w:hAnsi="仿宋" w:eastAsia="仿宋" w:cs="仿宋"/>
          <w:sz w:val="32"/>
          <w:szCs w:val="32"/>
        </w:rPr>
        <w:t>净水剂</w:t>
      </w:r>
      <w:r>
        <w:rPr>
          <w:rFonts w:hint="eastAsia" w:ascii="仿宋" w:hAnsi="仿宋" w:eastAsia="仿宋" w:cs="仿宋"/>
          <w:sz w:val="32"/>
          <w:szCs w:val="32"/>
          <w:lang w:eastAsia="zh-CN"/>
        </w:rPr>
        <w:t>、鸿利化工芳纶</w:t>
      </w:r>
      <w:r>
        <w:rPr>
          <w:rFonts w:hint="eastAsia" w:ascii="仿宋" w:hAnsi="仿宋" w:eastAsia="仿宋" w:cs="仿宋"/>
          <w:sz w:val="32"/>
          <w:szCs w:val="32"/>
        </w:rPr>
        <w:t>等项目</w:t>
      </w:r>
      <w:r>
        <w:rPr>
          <w:rFonts w:hint="eastAsia" w:ascii="仿宋" w:hAnsi="仿宋" w:eastAsia="仿宋" w:cs="仿宋"/>
          <w:sz w:val="32"/>
          <w:szCs w:val="32"/>
          <w:lang w:eastAsia="zh-CN"/>
        </w:rPr>
        <w:t>落地投产，扩大市场份额</w:t>
      </w:r>
      <w:r>
        <w:rPr>
          <w:rFonts w:hint="eastAsia" w:ascii="仿宋" w:hAnsi="仿宋" w:eastAsia="仿宋" w:cs="仿宋"/>
          <w:sz w:val="32"/>
          <w:szCs w:val="32"/>
        </w:rPr>
        <w:t>。</w:t>
      </w:r>
      <w:r>
        <w:rPr>
          <w:rFonts w:hint="eastAsia" w:ascii="仿宋" w:hAnsi="仿宋" w:eastAsia="仿宋" w:cs="仿宋"/>
          <w:sz w:val="32"/>
          <w:szCs w:val="32"/>
          <w:lang w:eastAsia="zh-CN"/>
        </w:rPr>
        <w:t>加快推进新型建材扩大规模，抓好新桥涂料、万腾建材扩能改造。推进金钢钻扩大企业规模，加快合作重组，新建制品生产线。积极发展石墨、玄武岩纤维</w:t>
      </w:r>
      <w:r>
        <w:rPr>
          <w:rFonts w:hint="eastAsia" w:ascii="仿宋" w:hAnsi="仿宋" w:eastAsia="仿宋" w:cs="仿宋"/>
          <w:sz w:val="32"/>
          <w:szCs w:val="32"/>
        </w:rPr>
        <w:t>等产业</w:t>
      </w:r>
      <w:r>
        <w:rPr>
          <w:rFonts w:hint="eastAsia" w:ascii="仿宋" w:hAnsi="仿宋" w:eastAsia="仿宋" w:cs="仿宋"/>
          <w:sz w:val="32"/>
          <w:szCs w:val="32"/>
          <w:lang w:eastAsia="zh-CN"/>
        </w:rPr>
        <w:t>，推动</w:t>
      </w:r>
      <w:r>
        <w:rPr>
          <w:rFonts w:hint="eastAsia" w:ascii="仿宋" w:hAnsi="仿宋" w:eastAsia="仿宋" w:cs="仿宋"/>
          <w:sz w:val="32"/>
          <w:szCs w:val="32"/>
        </w:rPr>
        <w:t>蓄电池负极材料电池、中慧玄武岩拉丝等项目建设。</w:t>
      </w:r>
    </w:p>
    <w:p w14:paraId="49A80019">
      <w:pPr>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ascii="仿宋" w:hAnsi="仿宋" w:eastAsia="仿宋" w:cs="仿宋"/>
          <w:sz w:val="32"/>
          <w:szCs w:val="32"/>
        </w:rPr>
      </w:pPr>
      <w:r>
        <w:rPr>
          <w:rFonts w:hint="eastAsia" w:ascii="仿宋" w:hAnsi="仿宋" w:eastAsia="仿宋" w:cs="仿宋"/>
          <w:b/>
          <w:bCs/>
          <w:sz w:val="32"/>
          <w:szCs w:val="32"/>
          <w:lang w:eastAsia="zh-CN"/>
        </w:rPr>
        <w:t>做强</w:t>
      </w:r>
      <w:r>
        <w:rPr>
          <w:rFonts w:hint="eastAsia" w:ascii="仿宋" w:hAnsi="仿宋" w:eastAsia="仿宋" w:cs="仿宋"/>
          <w:b/>
          <w:bCs/>
          <w:sz w:val="32"/>
          <w:szCs w:val="32"/>
        </w:rPr>
        <w:t>装备制造产业。</w:t>
      </w:r>
      <w:r>
        <w:rPr>
          <w:rFonts w:hint="eastAsia" w:ascii="仿宋" w:hAnsi="仿宋" w:eastAsia="仿宋" w:cs="仿宋"/>
          <w:color w:val="auto"/>
          <w:sz w:val="32"/>
          <w:szCs w:val="32"/>
          <w:lang w:val="en-US" w:eastAsia="zh-CN"/>
        </w:rPr>
        <w:t>到2025年，实现10亿级产业规模。</w:t>
      </w:r>
      <w:r>
        <w:rPr>
          <w:rFonts w:hint="eastAsia" w:ascii="仿宋" w:hAnsi="仿宋" w:eastAsia="仿宋" w:cs="仿宋"/>
          <w:sz w:val="32"/>
          <w:szCs w:val="32"/>
          <w:lang w:eastAsia="zh-CN"/>
        </w:rPr>
        <w:t>以高端化、智能化、服务化为主攻方向，加强关键核心技术创新和成果转化，推动石油机械、农机装备、汽车零部件等传统装备制造业改造升级。积极引导装备制造企业向服务型制造转型，大力发展装备解决方案和增值服务，实现单纯装备制造向“制造</w:t>
      </w:r>
      <w:r>
        <w:rPr>
          <w:rFonts w:hint="eastAsia" w:ascii="仿宋" w:hAnsi="仿宋" w:eastAsia="仿宋" w:cs="仿宋"/>
          <w:sz w:val="32"/>
          <w:szCs w:val="32"/>
          <w:lang w:val="en-US" w:eastAsia="zh-CN"/>
        </w:rPr>
        <w:t>+服务</w:t>
      </w:r>
      <w:r>
        <w:rPr>
          <w:rFonts w:hint="eastAsia" w:ascii="仿宋" w:hAnsi="仿宋" w:eastAsia="仿宋" w:cs="仿宋"/>
          <w:sz w:val="32"/>
          <w:szCs w:val="32"/>
          <w:lang w:eastAsia="zh-CN"/>
        </w:rPr>
        <w:t>”转变。加快推进制造企业产品技术升级和规模扩张。充分发挥我区石油机械产业优势，建立石油配件产业集聚地，共建配套链、共享供应链，提高产品配套能力和协同化水平。</w:t>
      </w:r>
      <w:r>
        <w:rPr>
          <w:rFonts w:hint="eastAsia" w:ascii="仿宋" w:hAnsi="仿宋" w:eastAsia="仿宋" w:cs="仿宋"/>
          <w:sz w:val="32"/>
          <w:szCs w:val="32"/>
        </w:rPr>
        <w:t>政府搭台，行业协会牵头，加强与中石油、中石化、中海油及各大油田联系，掌握行业发展趋势，调整企业发展方向，提高中标率。</w:t>
      </w:r>
      <w:r>
        <w:rPr>
          <w:rFonts w:hint="eastAsia" w:ascii="仿宋" w:hAnsi="仿宋" w:eastAsia="仿宋" w:cs="仿宋"/>
          <w:sz w:val="32"/>
          <w:szCs w:val="32"/>
          <w:lang w:eastAsia="zh-CN"/>
        </w:rPr>
        <w:t>加大研发力度，</w:t>
      </w:r>
      <w:r>
        <w:rPr>
          <w:rFonts w:hint="eastAsia" w:ascii="仿宋" w:hAnsi="仿宋" w:eastAsia="仿宋" w:cs="仿宋"/>
          <w:sz w:val="32"/>
          <w:szCs w:val="32"/>
        </w:rPr>
        <w:t>提升产品技术含量，增加产品附加值。重点推进林海</w:t>
      </w:r>
      <w:r>
        <w:rPr>
          <w:rFonts w:hint="eastAsia" w:ascii="仿宋" w:hAnsi="仿宋" w:eastAsia="仿宋" w:cs="仿宋"/>
          <w:sz w:val="32"/>
          <w:szCs w:val="32"/>
          <w:lang w:eastAsia="zh-CN"/>
        </w:rPr>
        <w:t>石油</w:t>
      </w:r>
      <w:r>
        <w:rPr>
          <w:rFonts w:hint="eastAsia" w:ascii="仿宋" w:hAnsi="仿宋" w:eastAsia="仿宋" w:cs="仿宋"/>
          <w:sz w:val="32"/>
          <w:szCs w:val="32"/>
        </w:rPr>
        <w:t>全数控化生产线、</w:t>
      </w:r>
      <w:r>
        <w:rPr>
          <w:rFonts w:hint="eastAsia" w:ascii="仿宋" w:hAnsi="仿宋" w:eastAsia="仿宋" w:cs="仿宋"/>
          <w:sz w:val="32"/>
          <w:szCs w:val="32"/>
          <w:lang w:eastAsia="zh-CN"/>
        </w:rPr>
        <w:t>高仕达矿山机械展销中心、通用石油技术研发中心</w:t>
      </w:r>
      <w:r>
        <w:rPr>
          <w:rFonts w:hint="eastAsia" w:ascii="仿宋" w:hAnsi="仿宋" w:eastAsia="仿宋" w:cs="仿宋"/>
          <w:sz w:val="32"/>
          <w:szCs w:val="32"/>
        </w:rPr>
        <w:t>等项目建设。推进北方阀业</w:t>
      </w:r>
      <w:r>
        <w:rPr>
          <w:rFonts w:hint="eastAsia" w:ascii="仿宋" w:hAnsi="仿宋" w:eastAsia="仿宋" w:cs="仿宋"/>
          <w:sz w:val="32"/>
          <w:szCs w:val="32"/>
          <w:lang w:eastAsia="zh-CN"/>
        </w:rPr>
        <w:t>、</w:t>
      </w:r>
      <w:r>
        <w:rPr>
          <w:rFonts w:hint="eastAsia" w:ascii="仿宋" w:hAnsi="仿宋" w:eastAsia="仿宋" w:cs="仿宋"/>
          <w:sz w:val="32"/>
          <w:szCs w:val="32"/>
        </w:rPr>
        <w:t>金环石化</w:t>
      </w:r>
      <w:r>
        <w:rPr>
          <w:rFonts w:hint="eastAsia" w:ascii="仿宋" w:hAnsi="仿宋" w:eastAsia="仿宋" w:cs="仿宋"/>
          <w:sz w:val="32"/>
          <w:szCs w:val="32"/>
          <w:lang w:eastAsia="zh-CN"/>
        </w:rPr>
        <w:t>、</w:t>
      </w:r>
      <w:r>
        <w:rPr>
          <w:rFonts w:hint="eastAsia" w:ascii="仿宋" w:hAnsi="仿宋" w:eastAsia="仿宋" w:cs="仿宋"/>
          <w:sz w:val="32"/>
          <w:szCs w:val="32"/>
        </w:rPr>
        <w:t>天擎科技搬迁改造等项目建设。推进高端装备制造，</w:t>
      </w:r>
      <w:r>
        <w:rPr>
          <w:rFonts w:hint="eastAsia" w:ascii="仿宋" w:hAnsi="仿宋" w:eastAsia="仿宋" w:cs="仿宋"/>
          <w:sz w:val="32"/>
          <w:szCs w:val="32"/>
          <w:lang w:eastAsia="zh-CN"/>
        </w:rPr>
        <w:t>探索</w:t>
      </w:r>
      <w:r>
        <w:rPr>
          <w:rFonts w:hint="eastAsia" w:ascii="仿宋" w:hAnsi="仿宋" w:eastAsia="仿宋" w:cs="仿宋"/>
          <w:sz w:val="32"/>
          <w:szCs w:val="32"/>
        </w:rPr>
        <w:t>人工智能、3D打印机等产业发展。</w:t>
      </w:r>
    </w:p>
    <w:p w14:paraId="130D372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做优</w:t>
      </w:r>
      <w:r>
        <w:rPr>
          <w:rFonts w:hint="eastAsia" w:ascii="仿宋" w:hAnsi="仿宋" w:eastAsia="仿宋" w:cs="仿宋"/>
          <w:b/>
          <w:bCs/>
          <w:sz w:val="32"/>
          <w:szCs w:val="32"/>
        </w:rPr>
        <w:t>绿色食品产业。</w:t>
      </w:r>
      <w:r>
        <w:rPr>
          <w:rFonts w:hint="eastAsia" w:ascii="仿宋" w:hAnsi="仿宋" w:eastAsia="仿宋" w:cs="仿宋"/>
          <w:sz w:val="32"/>
          <w:szCs w:val="32"/>
          <w:lang w:eastAsia="zh-CN"/>
        </w:rPr>
        <w:t>到</w:t>
      </w:r>
      <w:r>
        <w:rPr>
          <w:rFonts w:hint="eastAsia" w:ascii="仿宋" w:hAnsi="仿宋" w:eastAsia="仿宋" w:cs="仿宋"/>
          <w:sz w:val="32"/>
          <w:szCs w:val="32"/>
          <w:lang w:val="en-US" w:eastAsia="zh-CN"/>
        </w:rPr>
        <w:t>2025年，实现食品加工业产值翻番。</w:t>
      </w:r>
      <w:r>
        <w:rPr>
          <w:rFonts w:hint="eastAsia" w:ascii="仿宋" w:hAnsi="仿宋" w:eastAsia="仿宋" w:cs="仿宋"/>
          <w:sz w:val="32"/>
          <w:szCs w:val="32"/>
          <w:lang w:eastAsia="zh-CN"/>
        </w:rPr>
        <w:t>深入抓好“两头两尾”，积极推动食品产业提档升级，形成绿色食品产业链。加快推进绿色食品加工龙头企业做优产品，扩大产品知名度和市场份额。</w:t>
      </w:r>
      <w:r>
        <w:rPr>
          <w:rFonts w:hint="eastAsia" w:ascii="仿宋" w:hAnsi="仿宋" w:eastAsia="仿宋" w:cs="仿宋"/>
          <w:sz w:val="32"/>
          <w:szCs w:val="32"/>
        </w:rPr>
        <w:t>提高研发水平，</w:t>
      </w:r>
      <w:r>
        <w:rPr>
          <w:rFonts w:hint="eastAsia" w:ascii="仿宋" w:hAnsi="仿宋" w:eastAsia="仿宋" w:cs="仿宋"/>
          <w:sz w:val="32"/>
          <w:szCs w:val="32"/>
          <w:lang w:eastAsia="zh-CN"/>
        </w:rPr>
        <w:t>积极开发绿色、健康、营养的新型食品，</w:t>
      </w:r>
      <w:r>
        <w:rPr>
          <w:rFonts w:hint="eastAsia" w:ascii="仿宋" w:hAnsi="仿宋" w:eastAsia="仿宋" w:cs="仿宋"/>
          <w:sz w:val="32"/>
          <w:szCs w:val="32"/>
        </w:rPr>
        <w:t>强化保健功能，打造</w:t>
      </w:r>
      <w:r>
        <w:rPr>
          <w:rFonts w:hint="eastAsia" w:ascii="仿宋" w:hAnsi="仿宋" w:eastAsia="仿宋" w:cs="仿宋"/>
          <w:sz w:val="32"/>
          <w:szCs w:val="32"/>
          <w:lang w:eastAsia="zh-CN"/>
        </w:rPr>
        <w:t>知名</w:t>
      </w:r>
      <w:r>
        <w:rPr>
          <w:rFonts w:hint="eastAsia" w:ascii="仿宋" w:hAnsi="仿宋" w:eastAsia="仿宋" w:cs="仿宋"/>
          <w:sz w:val="32"/>
          <w:szCs w:val="32"/>
        </w:rPr>
        <w:t>品牌</w:t>
      </w:r>
      <w:r>
        <w:rPr>
          <w:rFonts w:hint="eastAsia" w:ascii="仿宋" w:hAnsi="仿宋" w:eastAsia="仿宋" w:cs="仿宋"/>
          <w:sz w:val="32"/>
          <w:szCs w:val="32"/>
          <w:lang w:eastAsia="zh-CN"/>
        </w:rPr>
        <w:t>。重点</w:t>
      </w:r>
      <w:r>
        <w:rPr>
          <w:rFonts w:hint="eastAsia" w:ascii="仿宋" w:hAnsi="仿宋" w:eastAsia="仿宋" w:cs="仿宋"/>
          <w:sz w:val="32"/>
          <w:szCs w:val="32"/>
        </w:rPr>
        <w:t>推进灵泰富硒农产品、仁合堂保健品、华誉肉制品、小蜜蜂矿泉水、回回顺</w:t>
      </w:r>
      <w:r>
        <w:rPr>
          <w:rFonts w:hint="eastAsia" w:ascii="仿宋" w:hAnsi="仿宋" w:eastAsia="仿宋" w:cs="仿宋"/>
          <w:sz w:val="32"/>
          <w:szCs w:val="32"/>
          <w:lang w:eastAsia="zh-CN"/>
        </w:rPr>
        <w:t>清真食品</w:t>
      </w:r>
      <w:r>
        <w:rPr>
          <w:rFonts w:hint="eastAsia" w:ascii="仿宋" w:hAnsi="仿宋" w:eastAsia="仿宋" w:cs="仿宋"/>
          <w:sz w:val="32"/>
          <w:szCs w:val="32"/>
        </w:rPr>
        <w:t>、康之源</w:t>
      </w:r>
      <w:r>
        <w:rPr>
          <w:rFonts w:hint="eastAsia" w:ascii="仿宋" w:hAnsi="仿宋" w:eastAsia="仿宋" w:cs="仿宋"/>
          <w:sz w:val="32"/>
          <w:szCs w:val="32"/>
          <w:lang w:eastAsia="zh-CN"/>
        </w:rPr>
        <w:t>精品大</w:t>
      </w:r>
      <w:r>
        <w:rPr>
          <w:rFonts w:hint="eastAsia" w:ascii="仿宋" w:hAnsi="仿宋" w:eastAsia="仿宋" w:cs="仿宋"/>
          <w:sz w:val="32"/>
          <w:szCs w:val="32"/>
        </w:rPr>
        <w:t>米等项目</w:t>
      </w:r>
      <w:r>
        <w:rPr>
          <w:rFonts w:hint="eastAsia" w:ascii="仿宋" w:hAnsi="仿宋" w:eastAsia="仿宋" w:cs="仿宋"/>
          <w:sz w:val="32"/>
          <w:szCs w:val="32"/>
          <w:lang w:eastAsia="zh-CN"/>
        </w:rPr>
        <w:t>提高产品质量，提升认知度，用高质量的产品和高知名度的品牌抢占市场。</w:t>
      </w:r>
    </w:p>
    <w:p w14:paraId="599988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eastAsia="zh-CN"/>
        </w:rPr>
        <w:t>做优林纸和</w:t>
      </w:r>
      <w:r>
        <w:rPr>
          <w:rFonts w:hint="eastAsia" w:ascii="仿宋" w:hAnsi="仿宋" w:eastAsia="仿宋" w:cs="仿宋"/>
          <w:b/>
          <w:bCs/>
          <w:sz w:val="32"/>
          <w:szCs w:val="32"/>
        </w:rPr>
        <w:t>新能源产业。</w:t>
      </w:r>
      <w:r>
        <w:rPr>
          <w:rFonts w:hint="eastAsia" w:ascii="仿宋" w:hAnsi="仿宋" w:eastAsia="仿宋" w:cs="仿宋"/>
          <w:sz w:val="32"/>
          <w:szCs w:val="32"/>
          <w:lang w:eastAsia="zh-CN"/>
        </w:rPr>
        <w:t>提高木材精深加工产品比重。依托产业基础和俄罗斯木材原料优势，扶持大河木业、中永木业、金森木业等重点企业加强技术改造和产品升级，加快开发高强度、功能化、环保型加工制品。顺应能源改革趋势，</w:t>
      </w:r>
      <w:r>
        <w:rPr>
          <w:rFonts w:hint="eastAsia" w:ascii="仿宋" w:hAnsi="仿宋" w:eastAsia="仿宋" w:cs="仿宋"/>
          <w:sz w:val="32"/>
          <w:szCs w:val="32"/>
        </w:rPr>
        <w:t>利用自然资源</w:t>
      </w:r>
      <w:r>
        <w:rPr>
          <w:rFonts w:hint="eastAsia" w:ascii="仿宋" w:hAnsi="仿宋" w:eastAsia="仿宋" w:cs="仿宋"/>
          <w:sz w:val="32"/>
          <w:szCs w:val="32"/>
          <w:lang w:eastAsia="zh-CN"/>
        </w:rPr>
        <w:t>优势，有序发展新能源产业。积极推进</w:t>
      </w:r>
      <w:r>
        <w:rPr>
          <w:rFonts w:hint="eastAsia" w:ascii="仿宋" w:hAnsi="仿宋" w:eastAsia="仿宋" w:cs="仿宋"/>
          <w:sz w:val="32"/>
          <w:szCs w:val="32"/>
        </w:rPr>
        <w:t>华富</w:t>
      </w:r>
      <w:r>
        <w:rPr>
          <w:rFonts w:hint="eastAsia" w:ascii="仿宋" w:hAnsi="仿宋" w:eastAsia="仿宋" w:cs="仿宋"/>
          <w:sz w:val="32"/>
          <w:szCs w:val="32"/>
          <w:lang w:eastAsia="zh-CN"/>
        </w:rPr>
        <w:t>电力</w:t>
      </w:r>
      <w:r>
        <w:rPr>
          <w:rFonts w:hint="eastAsia" w:ascii="仿宋" w:hAnsi="仿宋" w:eastAsia="仿宋" w:cs="仿宋"/>
          <w:sz w:val="32"/>
          <w:szCs w:val="32"/>
          <w:lang w:val="en-US" w:eastAsia="zh-CN"/>
        </w:rPr>
        <w:t>400MW风力发电、</w:t>
      </w:r>
      <w:r>
        <w:rPr>
          <w:rFonts w:hint="eastAsia" w:ascii="仿宋" w:hAnsi="仿宋" w:eastAsia="仿宋" w:cs="仿宋"/>
          <w:sz w:val="32"/>
          <w:szCs w:val="32"/>
        </w:rPr>
        <w:t>中节能农光互补</w:t>
      </w:r>
      <w:r>
        <w:rPr>
          <w:rFonts w:hint="eastAsia" w:ascii="仿宋" w:hAnsi="仿宋" w:eastAsia="仿宋" w:cs="仿宋"/>
          <w:sz w:val="32"/>
          <w:szCs w:val="32"/>
          <w:lang w:val="en-US" w:eastAsia="zh-CN"/>
        </w:rPr>
        <w:t>25MW分布式光伏发电等</w:t>
      </w:r>
      <w:r>
        <w:rPr>
          <w:rFonts w:hint="eastAsia" w:ascii="仿宋" w:hAnsi="仿宋" w:eastAsia="仿宋" w:cs="仿宋"/>
          <w:sz w:val="32"/>
          <w:szCs w:val="32"/>
        </w:rPr>
        <w:t>项目</w:t>
      </w:r>
      <w:r>
        <w:rPr>
          <w:rFonts w:hint="eastAsia" w:ascii="仿宋" w:hAnsi="仿宋" w:eastAsia="仿宋" w:cs="仿宋"/>
          <w:sz w:val="32"/>
          <w:szCs w:val="32"/>
          <w:lang w:eastAsia="zh-CN"/>
        </w:rPr>
        <w:t>正式运营，成为强有力的新的经济增长点</w:t>
      </w:r>
      <w:r>
        <w:rPr>
          <w:rFonts w:hint="eastAsia" w:ascii="仿宋" w:hAnsi="仿宋" w:eastAsia="仿宋" w:cs="仿宋"/>
          <w:sz w:val="32"/>
          <w:szCs w:val="32"/>
        </w:rPr>
        <w:t>。</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1"/>
        <w:gridCol w:w="6257"/>
      </w:tblGrid>
      <w:tr w14:paraId="6471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8" w:type="dxa"/>
            <w:gridSpan w:val="2"/>
            <w:vAlign w:val="center"/>
          </w:tcPr>
          <w:p w14:paraId="2338A826">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1</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kern w:val="2"/>
                <w:sz w:val="28"/>
                <w:szCs w:val="28"/>
                <w:lang w:val="en-US" w:eastAsia="zh-CN" w:bidi="ar-SA"/>
                <w14:textFill>
                  <w14:solidFill>
                    <w14:schemeClr w14:val="tx1"/>
                  </w14:solidFill>
                </w14:textFill>
              </w:rPr>
              <w:t>加快发展现代新型工业</w:t>
            </w:r>
          </w:p>
        </w:tc>
      </w:tr>
      <w:tr w14:paraId="0E2A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161" w:type="dxa"/>
            <w:vAlign w:val="center"/>
          </w:tcPr>
          <w:p w14:paraId="72883030">
            <w:pPr>
              <w:jc w:val="center"/>
              <w:rPr>
                <w:rFonts w:ascii="Times New Roman" w:hAnsi="Times New Roman" w:eastAsia="楷体_GB2312" w:cs="Times New Roman"/>
                <w:b/>
                <w:bCs/>
                <w:color w:val="000000" w:themeColor="text1"/>
                <w:sz w:val="24"/>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6257" w:type="dxa"/>
            <w:vAlign w:val="center"/>
          </w:tcPr>
          <w:p w14:paraId="23FA94DF">
            <w:pPr>
              <w:jc w:val="center"/>
              <w:rPr>
                <w:rFonts w:ascii="Times New Roman" w:hAnsi="Times New Roman" w:eastAsia="楷体_GB2312" w:cs="Times New Roman"/>
                <w:b/>
                <w:bCs/>
                <w:color w:val="000000" w:themeColor="text1"/>
                <w:sz w:val="24"/>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重点项目</w:t>
            </w:r>
          </w:p>
        </w:tc>
      </w:tr>
      <w:tr w14:paraId="6098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jc w:val="center"/>
        </w:trPr>
        <w:tc>
          <w:tcPr>
            <w:tcW w:w="2161" w:type="dxa"/>
            <w:vAlign w:val="center"/>
          </w:tcPr>
          <w:p w14:paraId="4E30D614">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医药制造产业</w:t>
            </w:r>
          </w:p>
        </w:tc>
        <w:tc>
          <w:tcPr>
            <w:tcW w:w="6257" w:type="dxa"/>
            <w:vAlign w:val="center"/>
          </w:tcPr>
          <w:p w14:paraId="60184B92">
            <w:pPr>
              <w:rPr>
                <w:rFonts w:hint="eastAsia" w:ascii="楷体" w:hAnsi="楷体" w:eastAsia="楷体" w:cs="楷体"/>
                <w:color w:val="000000" w:themeColor="text1"/>
                <w:kern w:val="0"/>
                <w:sz w:val="24"/>
                <w:szCs w:val="24"/>
                <w14:textFill>
                  <w14:solidFill>
                    <w14:schemeClr w14:val="tx1"/>
                  </w14:solidFill>
                </w14:textFill>
              </w:rPr>
            </w:pPr>
            <w:r>
              <w:rPr>
                <w:rFonts w:hint="eastAsia" w:ascii="楷体" w:hAnsi="楷体" w:eastAsia="楷体" w:cs="楷体"/>
                <w:color w:val="000000" w:themeColor="text1"/>
                <w:kern w:val="0"/>
                <w:sz w:val="24"/>
                <w:szCs w:val="24"/>
                <w14:textFill>
                  <w14:solidFill>
                    <w14:schemeClr w14:val="tx1"/>
                  </w14:solidFill>
                </w14:textFill>
              </w:rPr>
              <w:t>牡丹江灵泰药业股份有限公司富硒产品生产项目</w:t>
            </w:r>
            <w:r>
              <w:rPr>
                <w:rFonts w:hint="eastAsia" w:ascii="楷体" w:hAnsi="楷体" w:eastAsia="楷体" w:cs="楷体"/>
                <w:color w:val="000000" w:themeColor="text1"/>
                <w:kern w:val="0"/>
                <w:sz w:val="24"/>
                <w:szCs w:val="24"/>
                <w:lang w:eastAsia="zh-CN"/>
                <w14:textFill>
                  <w14:solidFill>
                    <w14:schemeClr w14:val="tx1"/>
                  </w14:solidFill>
                </w14:textFill>
              </w:rPr>
              <w:t>、</w:t>
            </w:r>
            <w:r>
              <w:rPr>
                <w:rFonts w:hint="eastAsia" w:ascii="楷体" w:hAnsi="楷体" w:eastAsia="楷体" w:cs="楷体"/>
                <w:color w:val="000000" w:themeColor="text1"/>
                <w:kern w:val="0"/>
                <w:sz w:val="24"/>
                <w:szCs w:val="24"/>
                <w14:textFill>
                  <w14:solidFill>
                    <w14:schemeClr w14:val="tx1"/>
                  </w14:solidFill>
                </w14:textFill>
              </w:rPr>
              <w:t>牡丹江灵</w:t>
            </w:r>
            <w:r>
              <w:rPr>
                <w:rFonts w:hint="eastAsia" w:ascii="楷体" w:hAnsi="楷体" w:eastAsia="楷体" w:cs="楷体"/>
                <w:color w:val="000000" w:themeColor="text1"/>
                <w:kern w:val="0"/>
                <w:sz w:val="24"/>
                <w:szCs w:val="24"/>
                <w:lang w:eastAsia="zh-CN"/>
                <w14:textFill>
                  <w14:solidFill>
                    <w14:schemeClr w14:val="tx1"/>
                  </w14:solidFill>
                </w14:textFill>
              </w:rPr>
              <w:t>泰药业股份有限公司生物医药研发检验平台项目、牡丹江恒远药业原料药扩能改造及研发检测服务中心项目、黑龙江仁合堂药业有限责任公司药品、保健食品研发检测中心服务平台项目、</w:t>
            </w:r>
            <w:r>
              <w:rPr>
                <w:rFonts w:hint="eastAsia" w:ascii="楷体" w:hAnsi="楷体" w:eastAsia="楷体" w:cs="楷体"/>
                <w:color w:val="000000" w:themeColor="text1"/>
                <w:kern w:val="0"/>
                <w:sz w:val="24"/>
                <w:szCs w:val="24"/>
                <w:lang w:val="en-US" w:eastAsia="zh-CN"/>
                <w14:textFill>
                  <w14:solidFill>
                    <w14:schemeClr w14:val="tx1"/>
                  </w14:solidFill>
                </w14:textFill>
              </w:rPr>
              <w:t>黑龙江</w:t>
            </w:r>
            <w:r>
              <w:rPr>
                <w:rFonts w:hint="eastAsia" w:ascii="楷体" w:hAnsi="楷体" w:eastAsia="楷体" w:cs="楷体"/>
                <w:color w:val="000000" w:themeColor="text1"/>
                <w:kern w:val="0"/>
                <w:sz w:val="24"/>
                <w:szCs w:val="24"/>
                <w:lang w:eastAsia="zh-CN"/>
                <w14:textFill>
                  <w14:solidFill>
                    <w14:schemeClr w14:val="tx1"/>
                  </w14:solidFill>
                </w14:textFill>
              </w:rPr>
              <w:t>黑宝药业股份有限公司冻干粉生产线等项目。</w:t>
            </w:r>
          </w:p>
        </w:tc>
      </w:tr>
      <w:tr w14:paraId="783A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5" w:hRule="atLeast"/>
          <w:jc w:val="center"/>
        </w:trPr>
        <w:tc>
          <w:tcPr>
            <w:tcW w:w="2161" w:type="dxa"/>
            <w:vAlign w:val="center"/>
          </w:tcPr>
          <w:p w14:paraId="47C9F3B6">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新材料产业</w:t>
            </w:r>
          </w:p>
        </w:tc>
        <w:tc>
          <w:tcPr>
            <w:tcW w:w="6257" w:type="dxa"/>
            <w:vAlign w:val="center"/>
          </w:tcPr>
          <w:p w14:paraId="70572EE0">
            <w:pPr>
              <w:rPr>
                <w:rFonts w:hint="eastAsia" w:ascii="楷体" w:hAnsi="楷体" w:eastAsia="楷体" w:cs="楷体"/>
                <w:color w:val="000000" w:themeColor="text1"/>
                <w:kern w:val="0"/>
                <w:sz w:val="24"/>
                <w:szCs w:val="24"/>
                <w:lang w:eastAsia="zh-CN"/>
                <w14:textFill>
                  <w14:solidFill>
                    <w14:schemeClr w14:val="tx1"/>
                  </w14:solidFill>
                </w14:textFill>
              </w:rPr>
            </w:pPr>
            <w:r>
              <w:rPr>
                <w:rFonts w:hint="eastAsia" w:ascii="楷体" w:hAnsi="楷体" w:eastAsia="楷体" w:cs="楷体"/>
                <w:color w:val="000000" w:themeColor="text1"/>
                <w:kern w:val="0"/>
                <w:sz w:val="24"/>
                <w:szCs w:val="24"/>
                <w14:textFill>
                  <w14:solidFill>
                    <w14:schemeClr w14:val="tx1"/>
                  </w14:solidFill>
                </w14:textFill>
              </w:rPr>
              <w:t>黑龙江晟顶化工科技有限公司年产80万吨新型生态复合肥料项目</w:t>
            </w:r>
            <w:r>
              <w:rPr>
                <w:rFonts w:hint="eastAsia" w:ascii="楷体" w:hAnsi="楷体" w:eastAsia="楷体" w:cs="楷体"/>
                <w:color w:val="000000" w:themeColor="text1"/>
                <w:kern w:val="0"/>
                <w:sz w:val="24"/>
                <w:szCs w:val="24"/>
                <w:lang w:eastAsia="zh-CN"/>
                <w14:textFill>
                  <w14:solidFill>
                    <w14:schemeClr w14:val="tx1"/>
                  </w14:solidFill>
                </w14:textFill>
              </w:rPr>
              <w:t>、牡丹江海迪科技有限公司年产</w:t>
            </w:r>
            <w:r>
              <w:rPr>
                <w:rFonts w:hint="eastAsia" w:ascii="楷体" w:hAnsi="楷体" w:eastAsia="楷体" w:cs="楷体"/>
                <w:color w:val="000000" w:themeColor="text1"/>
                <w:kern w:val="0"/>
                <w:sz w:val="24"/>
                <w:szCs w:val="24"/>
                <w:lang w:val="en-US" w:eastAsia="zh-CN"/>
                <w14:textFill>
                  <w14:solidFill>
                    <w14:schemeClr w14:val="tx1"/>
                  </w14:solidFill>
                </w14:textFill>
              </w:rPr>
              <w:t>1000吨染料中间体项目</w:t>
            </w:r>
            <w:r>
              <w:rPr>
                <w:rFonts w:hint="eastAsia" w:ascii="楷体" w:hAnsi="楷体" w:eastAsia="楷体" w:cs="楷体"/>
                <w:color w:val="000000" w:themeColor="text1"/>
                <w:kern w:val="0"/>
                <w:sz w:val="24"/>
                <w:szCs w:val="24"/>
                <w:lang w:eastAsia="zh-CN"/>
                <w14:textFill>
                  <w14:solidFill>
                    <w14:schemeClr w14:val="tx1"/>
                  </w14:solidFill>
                </w14:textFill>
              </w:rPr>
              <w:t>、</w:t>
            </w:r>
            <w:r>
              <w:rPr>
                <w:rFonts w:hint="eastAsia" w:ascii="楷体" w:hAnsi="楷体" w:eastAsia="楷体" w:cs="楷体"/>
                <w:color w:val="000000" w:themeColor="text1"/>
                <w:kern w:val="0"/>
                <w:sz w:val="24"/>
                <w:szCs w:val="24"/>
                <w:lang w:val="en-US" w:eastAsia="zh-CN"/>
                <w14:textFill>
                  <w14:solidFill>
                    <w14:schemeClr w14:val="tx1"/>
                  </w14:solidFill>
                </w14:textFill>
              </w:rPr>
              <w:t>牡丹江</w:t>
            </w:r>
            <w:r>
              <w:rPr>
                <w:rFonts w:hint="eastAsia" w:ascii="楷体" w:hAnsi="楷体" w:eastAsia="楷体" w:cs="楷体"/>
                <w:color w:val="000000" w:themeColor="text1"/>
                <w:kern w:val="0"/>
                <w:sz w:val="24"/>
                <w:szCs w:val="24"/>
                <w:lang w:eastAsia="zh-CN"/>
                <w14:textFill>
                  <w14:solidFill>
                    <w14:schemeClr w14:val="tx1"/>
                  </w14:solidFill>
                </w14:textFill>
              </w:rPr>
              <w:t>鸿利化工</w:t>
            </w:r>
            <w:r>
              <w:rPr>
                <w:rFonts w:hint="eastAsia" w:ascii="楷体" w:hAnsi="楷体" w:eastAsia="楷体" w:cs="楷体"/>
                <w:color w:val="000000" w:themeColor="text1"/>
                <w:kern w:val="0"/>
                <w:sz w:val="24"/>
                <w:szCs w:val="24"/>
                <w:lang w:val="en-US" w:eastAsia="zh-CN"/>
                <w14:textFill>
                  <w14:solidFill>
                    <w14:schemeClr w14:val="tx1"/>
                  </w14:solidFill>
                </w14:textFill>
              </w:rPr>
              <w:t>有限公司</w:t>
            </w:r>
            <w:r>
              <w:rPr>
                <w:rFonts w:hint="eastAsia" w:ascii="楷体" w:hAnsi="楷体" w:eastAsia="楷体" w:cs="楷体"/>
                <w:color w:val="000000" w:themeColor="text1"/>
                <w:kern w:val="0"/>
                <w:sz w:val="24"/>
                <w:szCs w:val="24"/>
                <w:lang w:eastAsia="zh-CN"/>
                <w14:textFill>
                  <w14:solidFill>
                    <w14:schemeClr w14:val="tx1"/>
                  </w14:solidFill>
                </w14:textFill>
              </w:rPr>
              <w:t>芳纶生产线项目、红林化工有限公司生物质碳粉产品开发项目、黑龙江万腾新型建筑材料有限公司新型建筑材料项目、中慧复合材料有限公司年产4万吨玄武岩纤维生产基地及天然气罐体生产项目、金钢钻碳化硼公司重组项目、河南巩义华星水用材料有限公司聚合氯化铝项目、黑龙江鸿桥建筑与法国圣戈班合作年产</w:t>
            </w:r>
            <w:r>
              <w:rPr>
                <w:rFonts w:hint="eastAsia" w:ascii="楷体" w:hAnsi="楷体" w:eastAsia="楷体" w:cs="楷体"/>
                <w:color w:val="000000" w:themeColor="text1"/>
                <w:kern w:val="0"/>
                <w:sz w:val="24"/>
                <w:szCs w:val="24"/>
                <w:lang w:val="en-US" w:eastAsia="zh-CN"/>
                <w14:textFill>
                  <w14:solidFill>
                    <w14:schemeClr w14:val="tx1"/>
                  </w14:solidFill>
                </w14:textFill>
              </w:rPr>
              <w:t>5</w:t>
            </w:r>
            <w:r>
              <w:rPr>
                <w:rFonts w:hint="eastAsia" w:ascii="楷体" w:hAnsi="楷体" w:eastAsia="楷体" w:cs="楷体"/>
                <w:color w:val="000000" w:themeColor="text1"/>
                <w:kern w:val="0"/>
                <w:sz w:val="24"/>
                <w:szCs w:val="24"/>
                <w:lang w:eastAsia="zh-CN"/>
                <w14:textFill>
                  <w14:solidFill>
                    <w14:schemeClr w14:val="tx1"/>
                  </w14:solidFill>
                </w14:textFill>
              </w:rPr>
              <w:t>万吨涂料等项目。</w:t>
            </w:r>
          </w:p>
        </w:tc>
      </w:tr>
      <w:tr w14:paraId="42F6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161" w:type="dxa"/>
            <w:vAlign w:val="center"/>
          </w:tcPr>
          <w:p w14:paraId="04F5C23F">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装备制造产业</w:t>
            </w:r>
          </w:p>
        </w:tc>
        <w:tc>
          <w:tcPr>
            <w:tcW w:w="6257" w:type="dxa"/>
            <w:vAlign w:val="center"/>
          </w:tcPr>
          <w:p w14:paraId="19E20777">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牡丹江林海石油打捞工具有限公司全数控化生产线项目、</w:t>
            </w:r>
            <w:r>
              <w:rPr>
                <w:rFonts w:hint="eastAsia" w:ascii="楷体" w:hAnsi="楷体" w:eastAsia="楷体" w:cs="楷体"/>
                <w:color w:val="000000" w:themeColor="text1"/>
                <w:kern w:val="0"/>
                <w:sz w:val="24"/>
                <w:szCs w:val="24"/>
                <w:lang w:val="en-US" w:eastAsia="zh-CN"/>
                <w14:textFill>
                  <w14:solidFill>
                    <w14:schemeClr w14:val="tx1"/>
                  </w14:solidFill>
                </w14:textFill>
              </w:rPr>
              <w:fldChar w:fldCharType="begin"/>
            </w:r>
            <w:r>
              <w:rPr>
                <w:rFonts w:hint="eastAsia" w:ascii="楷体" w:hAnsi="楷体" w:eastAsia="楷体" w:cs="楷体"/>
                <w:color w:val="000000" w:themeColor="text1"/>
                <w:kern w:val="0"/>
                <w:sz w:val="24"/>
                <w:szCs w:val="24"/>
                <w:lang w:val="en-US" w:eastAsia="zh-CN"/>
                <w14:textFill>
                  <w14:solidFill>
                    <w14:schemeClr w14:val="tx1"/>
                  </w14:solidFill>
                </w14:textFill>
              </w:rPr>
              <w:instrText xml:space="preserve"> HYPERLINK "https://www.tianyancha.com/company/800145989" \t "https://www.tianyancha.com/_blank" </w:instrText>
            </w:r>
            <w:r>
              <w:rPr>
                <w:rFonts w:hint="eastAsia" w:ascii="楷体" w:hAnsi="楷体" w:eastAsia="楷体" w:cs="楷体"/>
                <w:color w:val="000000" w:themeColor="text1"/>
                <w:kern w:val="0"/>
                <w:sz w:val="24"/>
                <w:szCs w:val="24"/>
                <w:lang w:val="en-US" w:eastAsia="zh-CN"/>
                <w14:textFill>
                  <w14:solidFill>
                    <w14:schemeClr w14:val="tx1"/>
                  </w14:solidFill>
                </w14:textFill>
              </w:rPr>
              <w:fldChar w:fldCharType="separate"/>
            </w:r>
            <w:r>
              <w:rPr>
                <w:rFonts w:hint="eastAsia" w:ascii="楷体" w:hAnsi="楷体" w:eastAsia="楷体" w:cs="楷体"/>
                <w:color w:val="000000" w:themeColor="text1"/>
                <w:kern w:val="0"/>
                <w:sz w:val="24"/>
                <w:szCs w:val="24"/>
                <w:lang w:val="en-US" w:eastAsia="zh-CN"/>
                <w14:textFill>
                  <w14:solidFill>
                    <w14:schemeClr w14:val="tx1"/>
                  </w14:solidFill>
                </w14:textFill>
              </w:rPr>
              <w:t>黑龙江高仕达通用机械制造有限公司</w:t>
            </w:r>
            <w:r>
              <w:rPr>
                <w:rFonts w:hint="eastAsia" w:ascii="楷体" w:hAnsi="楷体" w:eastAsia="楷体" w:cs="楷体"/>
                <w:color w:val="000000" w:themeColor="text1"/>
                <w:kern w:val="0"/>
                <w:sz w:val="24"/>
                <w:szCs w:val="24"/>
                <w:lang w:val="en-US" w:eastAsia="zh-CN"/>
                <w14:textFill>
                  <w14:solidFill>
                    <w14:schemeClr w14:val="tx1"/>
                  </w14:solidFill>
                </w14:textFill>
              </w:rPr>
              <w:fldChar w:fldCharType="end"/>
            </w:r>
            <w:r>
              <w:rPr>
                <w:rFonts w:hint="eastAsia" w:ascii="楷体" w:hAnsi="楷体" w:eastAsia="楷体" w:cs="楷体"/>
                <w:color w:val="000000" w:themeColor="text1"/>
                <w:kern w:val="0"/>
                <w:sz w:val="24"/>
                <w:szCs w:val="24"/>
                <w:lang w:val="en-US" w:eastAsia="zh-CN"/>
                <w14:textFill>
                  <w14:solidFill>
                    <w14:schemeClr w14:val="tx1"/>
                  </w14:solidFill>
                </w14:textFill>
              </w:rPr>
              <w:t>矿山机械展销中心项目、牡丹江通用石油工具有限公司技术研发中心项目、牡丹江北方电力有限公司全密封导料槽、无动力除尘项目。</w:t>
            </w:r>
          </w:p>
        </w:tc>
      </w:tr>
      <w:tr w14:paraId="139AC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2161" w:type="dxa"/>
            <w:vAlign w:val="center"/>
          </w:tcPr>
          <w:p w14:paraId="62C92AD3">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绿色食品产业</w:t>
            </w:r>
          </w:p>
        </w:tc>
        <w:tc>
          <w:tcPr>
            <w:tcW w:w="6257" w:type="dxa"/>
            <w:vAlign w:val="center"/>
          </w:tcPr>
          <w:p w14:paraId="522A9E9C">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牡丹江康之源农业发展有限公司绿色食品研发示范种植基地扩建项目、牡丹江灵泰药业有限公司富硒产品项目、爱民区</w:t>
            </w:r>
            <w:r>
              <w:rPr>
                <w:rFonts w:hint="eastAsia" w:ascii="楷体" w:hAnsi="楷体" w:eastAsia="楷体" w:cs="楷体"/>
                <w:color w:val="auto"/>
                <w:kern w:val="0"/>
                <w:sz w:val="24"/>
                <w:szCs w:val="24"/>
                <w:lang w:val="en-US" w:eastAsia="zh-CN"/>
              </w:rPr>
              <w:t>特色农产品展馆等项目。</w:t>
            </w:r>
          </w:p>
        </w:tc>
      </w:tr>
      <w:tr w14:paraId="5C000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jc w:val="center"/>
        </w:trPr>
        <w:tc>
          <w:tcPr>
            <w:tcW w:w="2161" w:type="dxa"/>
            <w:vAlign w:val="center"/>
          </w:tcPr>
          <w:p w14:paraId="4CA80937">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林纸和新能源产业</w:t>
            </w:r>
          </w:p>
        </w:tc>
        <w:tc>
          <w:tcPr>
            <w:tcW w:w="6257" w:type="dxa"/>
            <w:vAlign w:val="center"/>
          </w:tcPr>
          <w:p w14:paraId="7FBCB060">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牡丹江大河木业有限公司年产5万立方米中密度秸秆板示范项目、九祥木材厂木质餐具及咖啡棒等项目，黑龙江省华富电力投资有限公司400MW风力发电项目、中节能农光互补25MW分布式光伏发电项目等项目。</w:t>
            </w:r>
          </w:p>
        </w:tc>
      </w:tr>
    </w:tbl>
    <w:p w14:paraId="33667185">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第二节  着力发展现代服务业</w:t>
      </w:r>
    </w:p>
    <w:p w14:paraId="27F20EB7">
      <w:pPr>
        <w:pageBreakBefore w:val="0"/>
        <w:kinsoku/>
        <w:wordWrap/>
        <w:overflowPunct/>
        <w:topLinePunct w:val="0"/>
        <w:bidi w:val="0"/>
        <w:snapToGrid/>
        <w:spacing w:line="240" w:lineRule="auto"/>
        <w:ind w:left="0" w:leftChars="0"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积极发展文旅产业，</w:t>
      </w:r>
      <w:r>
        <w:rPr>
          <w:rFonts w:hint="eastAsia" w:ascii="仿宋" w:hAnsi="仿宋" w:eastAsia="仿宋" w:cs="仿宋"/>
          <w:b w:val="0"/>
          <w:bCs w:val="0"/>
          <w:sz w:val="32"/>
          <w:szCs w:val="32"/>
          <w:lang w:eastAsia="zh-CN"/>
        </w:rPr>
        <w:t>打造黑龙江省文化休闲度假旅游胜地，建成区域商贸中心、候鸟式旅居康养中心和物流集散中心，构建与全市国土空间布局相吻合、城市发展相协调、民生需求相适应的现代服务产业体系。</w:t>
      </w:r>
    </w:p>
    <w:p w14:paraId="1E366FEB">
      <w:pPr>
        <w:pageBreakBefore w:val="0"/>
        <w:kinsoku/>
        <w:wordWrap/>
        <w:overflowPunct/>
        <w:topLinePunct w:val="0"/>
        <w:bidi w:val="0"/>
        <w:snapToGrid/>
        <w:spacing w:line="240" w:lineRule="auto"/>
        <w:ind w:left="0" w:leftChars="0" w:firstLine="643" w:firstLineChars="200"/>
        <w:rPr>
          <w:rFonts w:hint="eastAsia" w:ascii="仿宋_GB2312" w:eastAsia="仿宋_GB2312"/>
          <w:sz w:val="32"/>
          <w:szCs w:val="32"/>
        </w:rPr>
      </w:pPr>
      <w:r>
        <w:rPr>
          <w:rFonts w:hint="eastAsia" w:ascii="仿宋_GB2312" w:eastAsia="仿宋_GB2312"/>
          <w:b/>
          <w:sz w:val="32"/>
          <w:szCs w:val="32"/>
        </w:rPr>
        <w:t>提升</w:t>
      </w:r>
      <w:r>
        <w:rPr>
          <w:rFonts w:hint="eastAsia" w:ascii="仿宋_GB2312" w:eastAsia="仿宋_GB2312"/>
          <w:b/>
          <w:sz w:val="32"/>
          <w:szCs w:val="32"/>
          <w:lang w:eastAsia="zh-CN"/>
        </w:rPr>
        <w:t>旅游产业。</w:t>
      </w:r>
      <w:r>
        <w:rPr>
          <w:rFonts w:hint="eastAsia" w:ascii="仿宋_GB2312" w:eastAsia="仿宋_GB2312"/>
          <w:sz w:val="32"/>
          <w:szCs w:val="32"/>
        </w:rPr>
        <w:t>积极</w:t>
      </w:r>
      <w:r>
        <w:rPr>
          <w:rFonts w:hint="eastAsia" w:ascii="仿宋_GB2312" w:eastAsia="仿宋_GB2312"/>
          <w:sz w:val="32"/>
          <w:szCs w:val="32"/>
          <w:lang w:eastAsia="zh-CN"/>
        </w:rPr>
        <w:t>发展</w:t>
      </w:r>
      <w:r>
        <w:rPr>
          <w:rFonts w:hint="eastAsia" w:ascii="仿宋_GB2312" w:eastAsia="仿宋_GB2312"/>
          <w:sz w:val="32"/>
          <w:szCs w:val="32"/>
        </w:rPr>
        <w:t>旅游项目，旅游</w:t>
      </w:r>
      <w:r>
        <w:rPr>
          <w:rFonts w:hint="eastAsia" w:ascii="仿宋_GB2312" w:eastAsia="仿宋_GB2312"/>
          <w:sz w:val="32"/>
          <w:szCs w:val="32"/>
          <w:lang w:eastAsia="zh-CN"/>
        </w:rPr>
        <w:t>业</w:t>
      </w:r>
      <w:r>
        <w:rPr>
          <w:rFonts w:hint="eastAsia" w:ascii="仿宋_GB2312" w:eastAsia="仿宋_GB2312"/>
          <w:sz w:val="32"/>
          <w:szCs w:val="32"/>
        </w:rPr>
        <w:t>总收入占GDP比重逐步提升。</w:t>
      </w:r>
      <w:r>
        <w:rPr>
          <w:rFonts w:hint="eastAsia" w:ascii="仿宋_GB2312" w:eastAsia="仿宋_GB2312"/>
          <w:sz w:val="32"/>
          <w:szCs w:val="32"/>
          <w:lang w:eastAsia="zh-CN"/>
        </w:rPr>
        <w:t>充分</w:t>
      </w:r>
      <w:r>
        <w:rPr>
          <w:rFonts w:hint="eastAsia" w:ascii="仿宋_GB2312" w:eastAsia="仿宋_GB2312"/>
          <w:sz w:val="32"/>
          <w:szCs w:val="32"/>
        </w:rPr>
        <w:t>发挥资源优势，全要素谋划旅游产业发展，着力打造以“一带一园一厅”为框架的特色旅游新坐标，深入做好“统筹、提升、创新”三篇文章，构建“全域旅游”发展新格</w:t>
      </w:r>
      <w:r>
        <w:rPr>
          <w:rFonts w:hint="eastAsia" w:ascii="仿宋_GB2312" w:eastAsia="仿宋_GB2312"/>
          <w:b w:val="0"/>
          <w:bCs/>
          <w:sz w:val="32"/>
          <w:szCs w:val="32"/>
        </w:rPr>
        <w:t>局。统筹区域特色旅游资源，聚焦重点实</w:t>
      </w:r>
      <w:r>
        <w:rPr>
          <w:rFonts w:hint="eastAsia" w:ascii="仿宋_GB2312" w:eastAsia="仿宋_GB2312"/>
          <w:sz w:val="32"/>
          <w:szCs w:val="32"/>
        </w:rPr>
        <w:t>现突破，将牡三公路沿线打造成为区域“近郊游”新燃点。扶持</w:t>
      </w:r>
      <w:r>
        <w:rPr>
          <w:rFonts w:hint="eastAsia" w:ascii="仿宋_GB2312" w:eastAsia="仿宋_GB2312"/>
          <w:sz w:val="32"/>
          <w:szCs w:val="32"/>
          <w:lang w:eastAsia="zh-CN"/>
        </w:rPr>
        <w:t>莓瑰</w:t>
      </w:r>
      <w:r>
        <w:rPr>
          <w:rFonts w:hint="eastAsia" w:ascii="仿宋_GB2312" w:eastAsia="仿宋_GB2312"/>
          <w:sz w:val="32"/>
          <w:szCs w:val="32"/>
          <w:u w:val="none"/>
        </w:rPr>
        <w:t>草莓采摘园</w:t>
      </w:r>
      <w:r>
        <w:rPr>
          <w:rFonts w:hint="eastAsia" w:ascii="仿宋_GB2312" w:eastAsia="仿宋_GB2312"/>
          <w:sz w:val="32"/>
          <w:szCs w:val="32"/>
        </w:rPr>
        <w:t>、百果园、鸵鸟产业基地、龙猫养殖基地等项目不断发展壮大，构建现代农业综合体，打造乡村旅游示范点。开通保税区—丰收采摘基地的南北景观直通车，通过事件营销及活动营销，扩大乡村旅游“景观带”影响力。提升</w:t>
      </w:r>
      <w:r>
        <w:rPr>
          <w:rFonts w:hint="eastAsia" w:ascii="仿宋_GB2312" w:eastAsia="仿宋_GB2312"/>
          <w:sz w:val="32"/>
          <w:szCs w:val="32"/>
          <w:lang w:eastAsia="zh-CN"/>
        </w:rPr>
        <w:t>景区景点功能</w:t>
      </w:r>
      <w:r>
        <w:rPr>
          <w:rFonts w:hint="eastAsia" w:ascii="仿宋_GB2312" w:eastAsia="仿宋_GB2312"/>
          <w:sz w:val="32"/>
          <w:szCs w:val="32"/>
        </w:rPr>
        <w:t>，充分发挥</w:t>
      </w:r>
      <w:r>
        <w:rPr>
          <w:rFonts w:hint="eastAsia" w:ascii="仿宋_GB2312" w:eastAsia="仿宋_GB2312"/>
          <w:sz w:val="32"/>
          <w:szCs w:val="32"/>
          <w:lang w:eastAsia="zh-CN"/>
        </w:rPr>
        <w:t>三道关国家森林公园</w:t>
      </w:r>
      <w:r>
        <w:rPr>
          <w:rFonts w:hint="eastAsia" w:ascii="仿宋_GB2312" w:eastAsia="仿宋_GB2312"/>
          <w:sz w:val="32"/>
          <w:szCs w:val="32"/>
        </w:rPr>
        <w:t>旅游资源禀赋，深挖小黄山、雾溪谷、黑宝熊乐园、南蛤蟆塘及农村闲置房等现有资源，积极与镜管委、林业等部门合作，招引民宿度假项目。以“旅游+农业”“旅游+研</w:t>
      </w:r>
      <w:r>
        <w:rPr>
          <w:rFonts w:hint="eastAsia" w:ascii="仿宋_GB2312" w:eastAsia="仿宋_GB2312"/>
          <w:sz w:val="32"/>
          <w:szCs w:val="32"/>
          <w:lang w:eastAsia="zh-CN"/>
        </w:rPr>
        <w:t>发</w:t>
      </w:r>
      <w:r>
        <w:rPr>
          <w:rFonts w:hint="eastAsia" w:ascii="仿宋_GB2312" w:eastAsia="仿宋_GB2312"/>
          <w:sz w:val="32"/>
          <w:szCs w:val="32"/>
        </w:rPr>
        <w:t>”“旅游+康养”为切入</w:t>
      </w:r>
      <w:r>
        <w:rPr>
          <w:rFonts w:hint="eastAsia" w:ascii="仿宋_GB2312" w:eastAsia="仿宋_GB2312"/>
          <w:sz w:val="32"/>
          <w:szCs w:val="32"/>
          <w:lang w:eastAsia="zh-CN"/>
        </w:rPr>
        <w:t>点</w:t>
      </w:r>
      <w:r>
        <w:rPr>
          <w:rFonts w:hint="eastAsia" w:ascii="仿宋_GB2312" w:eastAsia="仿宋_GB2312"/>
          <w:sz w:val="32"/>
          <w:szCs w:val="32"/>
        </w:rPr>
        <w:t>多元发展，规划精品旅游路线，提</w:t>
      </w:r>
      <w:r>
        <w:rPr>
          <w:rFonts w:hint="eastAsia" w:ascii="仿宋_GB2312" w:eastAsia="仿宋_GB2312"/>
          <w:sz w:val="32"/>
          <w:szCs w:val="32"/>
          <w:lang w:eastAsia="zh-CN"/>
        </w:rPr>
        <w:t>高</w:t>
      </w:r>
      <w:r>
        <w:rPr>
          <w:rFonts w:hint="eastAsia" w:ascii="仿宋_GB2312" w:eastAsia="仿宋_GB2312"/>
          <w:sz w:val="32"/>
          <w:szCs w:val="32"/>
        </w:rPr>
        <w:t>城市“后花园”知名度。创新引领</w:t>
      </w:r>
      <w:r>
        <w:rPr>
          <w:rFonts w:hint="eastAsia" w:ascii="仿宋_GB2312" w:eastAsia="仿宋_GB2312"/>
          <w:sz w:val="32"/>
          <w:szCs w:val="32"/>
          <w:lang w:eastAsia="zh-CN"/>
        </w:rPr>
        <w:t>，</w:t>
      </w:r>
      <w:r>
        <w:rPr>
          <w:rFonts w:hint="eastAsia" w:ascii="仿宋_GB2312" w:eastAsia="仿宋_GB2312"/>
          <w:sz w:val="32"/>
          <w:szCs w:val="32"/>
        </w:rPr>
        <w:t>精准发力，深度挖掘红色文化、知青文化、历史文化资源，为文旅融合发展注入新动能。加快推进古一文创园、机车文化园、</w:t>
      </w:r>
      <w:r>
        <w:rPr>
          <w:rFonts w:hint="eastAsia" w:ascii="仿宋_GB2312" w:eastAsia="仿宋_GB2312"/>
          <w:sz w:val="32"/>
          <w:szCs w:val="32"/>
          <w:lang w:eastAsia="zh-CN"/>
        </w:rPr>
        <w:t>双拥</w:t>
      </w:r>
      <w:r>
        <w:rPr>
          <w:rFonts w:hint="eastAsia" w:ascii="仿宋_GB2312" w:eastAsia="仿宋_GB2312"/>
          <w:sz w:val="32"/>
          <w:szCs w:val="32"/>
        </w:rPr>
        <w:t>广场、牡丹江市历史文化展示馆等项目建设。重点加大牡纺青年点招商引资力度，探索发展知青文化体验园。做好三道关边墙（唐长城）遗址的保护及资源开发</w:t>
      </w:r>
      <w:r>
        <w:rPr>
          <w:rFonts w:hint="eastAsia" w:ascii="仿宋_GB2312" w:eastAsia="仿宋_GB2312"/>
          <w:sz w:val="32"/>
          <w:szCs w:val="32"/>
          <w:lang w:eastAsia="zh-CN"/>
        </w:rPr>
        <w:t>。</w:t>
      </w:r>
      <w:r>
        <w:rPr>
          <w:rFonts w:hint="eastAsia" w:ascii="仿宋_GB2312" w:eastAsia="仿宋_GB2312"/>
          <w:sz w:val="32"/>
          <w:szCs w:val="32"/>
        </w:rPr>
        <w:t>以实体为支撑，增强文旅融合发展竞争力，夯实文化“会客厅”软实力。</w:t>
      </w:r>
    </w:p>
    <w:tbl>
      <w:tblPr>
        <w:tblStyle w:val="14"/>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696"/>
      </w:tblGrid>
      <w:tr w14:paraId="2F87D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8505" w:type="dxa"/>
            <w:gridSpan w:val="2"/>
            <w:vAlign w:val="center"/>
          </w:tcPr>
          <w:p w14:paraId="6528A74B">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8"/>
                <w:szCs w:val="28"/>
                <w:lang w:val="en-US"/>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1</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color w:val="000000" w:themeColor="text1"/>
                <w:sz w:val="28"/>
                <w:szCs w:val="28"/>
                <w:lang w:val="en-US" w:eastAsia="zh-CN"/>
                <w14:textFill>
                  <w14:solidFill>
                    <w14:schemeClr w14:val="tx1"/>
                  </w14:solidFill>
                </w14:textFill>
              </w:rPr>
              <w:t xml:space="preserve"> 提升旅游产业“一带一园一厅”重点工程和项目</w:t>
            </w:r>
          </w:p>
        </w:tc>
      </w:tr>
      <w:tr w14:paraId="6706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1809" w:type="dxa"/>
            <w:vAlign w:val="center"/>
          </w:tcPr>
          <w:p w14:paraId="2945AA22">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一带</w:t>
            </w:r>
          </w:p>
          <w:p w14:paraId="05C33266">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color w:val="000000" w:themeColor="text1"/>
                <w:kern w:val="0"/>
                <w:sz w:val="24"/>
                <w:szCs w:val="24"/>
                <w:lang w:val="en-US" w:eastAsia="zh-CN"/>
                <w14:textFill>
                  <w14:solidFill>
                    <w14:schemeClr w14:val="tx1"/>
                  </w14:solidFill>
                </w14:textFill>
              </w:rPr>
              <w:t>（牡三公路旅游“景观带”）</w:t>
            </w:r>
          </w:p>
        </w:tc>
        <w:tc>
          <w:tcPr>
            <w:tcW w:w="6696" w:type="dxa"/>
            <w:vAlign w:val="center"/>
          </w:tcPr>
          <w:p w14:paraId="1F94BF19">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开通保税区——丰收采摘基地的南北景观直通车，统筹区域特色旅游资源，沿牡三公路沿线，聚焦重点实现突破。扶持丰收大地百果园、莓瑰草莓采摘园、十九顶毡房、雪乡情红</w:t>
            </w:r>
            <w:r>
              <w:rPr>
                <w:rFonts w:hint="eastAsia" w:ascii="楷体" w:hAnsi="楷体" w:eastAsia="楷体" w:cs="楷体"/>
                <w:color w:val="auto"/>
                <w:kern w:val="0"/>
                <w:sz w:val="24"/>
                <w:szCs w:val="24"/>
                <w:lang w:val="en-US" w:eastAsia="zh-CN"/>
              </w:rPr>
              <w:t>酒</w:t>
            </w:r>
            <w:r>
              <w:rPr>
                <w:rFonts w:hint="eastAsia" w:ascii="楷体" w:hAnsi="楷体" w:eastAsia="楷体" w:cs="楷体"/>
                <w:color w:val="000000" w:themeColor="text1"/>
                <w:kern w:val="0"/>
                <w:sz w:val="24"/>
                <w:szCs w:val="24"/>
                <w:lang w:val="en-US" w:eastAsia="zh-CN"/>
                <w14:textFill>
                  <w14:solidFill>
                    <w14:schemeClr w14:val="tx1"/>
                  </w14:solidFill>
                </w14:textFill>
              </w:rPr>
              <w:t>庄园、龙猫、鸵鸟养殖基地等项目发展壮大，构建现代农业综合体，打造乡村旅游示范点。</w:t>
            </w:r>
          </w:p>
        </w:tc>
      </w:tr>
      <w:tr w14:paraId="6C6A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1809" w:type="dxa"/>
            <w:vAlign w:val="center"/>
          </w:tcPr>
          <w:p w14:paraId="14CA97A8">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一园</w:t>
            </w:r>
          </w:p>
          <w:p w14:paraId="74CECBC3">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（城市“后花园”）</w:t>
            </w:r>
          </w:p>
        </w:tc>
        <w:tc>
          <w:tcPr>
            <w:tcW w:w="6696" w:type="dxa"/>
            <w:vAlign w:val="center"/>
          </w:tcPr>
          <w:p w14:paraId="71CECDE0">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加快推进三道关国家森林公园</w:t>
            </w:r>
            <w:r>
              <w:rPr>
                <w:rFonts w:hint="eastAsia" w:ascii="楷体" w:hAnsi="楷体" w:eastAsia="楷体" w:cs="楷体"/>
                <w:color w:val="auto"/>
                <w:kern w:val="0"/>
                <w:sz w:val="24"/>
                <w:szCs w:val="24"/>
                <w:lang w:val="en-US" w:eastAsia="zh-CN"/>
              </w:rPr>
              <w:t>景区提档升级工程，加强基础设施建设，提升景区景点功能，深挖小黄山、雾溪谷、南蛤蟆塘等现有资源，重点推进黑宝熊乐园旅游度假村改造项目、三道关边墙（唐长城）博物馆项目、边墙观光栈道项目、集装箱民宿等项目。</w:t>
            </w:r>
          </w:p>
        </w:tc>
      </w:tr>
      <w:tr w14:paraId="6B887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1809" w:type="dxa"/>
            <w:vAlign w:val="center"/>
          </w:tcPr>
          <w:p w14:paraId="343A2A9E">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一厅</w:t>
            </w:r>
          </w:p>
          <w:p w14:paraId="74C4DDAC">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color w:val="000000" w:themeColor="text1"/>
                <w:kern w:val="0"/>
                <w:sz w:val="24"/>
                <w:szCs w:val="24"/>
                <w:lang w:val="en-US" w:eastAsia="zh-CN"/>
                <w14:textFill>
                  <w14:solidFill>
                    <w14:schemeClr w14:val="tx1"/>
                  </w14:solidFill>
                </w14:textFill>
              </w:rPr>
              <w:t>（文化“会客厅”）</w:t>
            </w:r>
          </w:p>
        </w:tc>
        <w:tc>
          <w:tcPr>
            <w:tcW w:w="6696" w:type="dxa"/>
            <w:vAlign w:val="center"/>
          </w:tcPr>
          <w:p w14:paraId="06034AC5">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以实体为支撑，增强文旅融合发展竞争力。重点抓好爱民区双拥广场（杨子荣纪念馆）项目、牡丹江历史文化馆项目、迈克机床漫步人生艺术产业园等项目。</w:t>
            </w:r>
          </w:p>
        </w:tc>
      </w:tr>
    </w:tbl>
    <w:p w14:paraId="58A5E326">
      <w:pPr>
        <w:pStyle w:val="2"/>
      </w:pPr>
    </w:p>
    <w:p w14:paraId="31AE75B3">
      <w:pPr>
        <w:pageBreakBefore w:val="0"/>
        <w:kinsoku/>
        <w:wordWrap/>
        <w:overflowPunct/>
        <w:topLinePunct w:val="0"/>
        <w:bidi w:val="0"/>
        <w:snapToGrid/>
        <w:spacing w:line="240" w:lineRule="auto"/>
        <w:ind w:left="0" w:leftChars="0" w:firstLine="643" w:firstLineChars="200"/>
        <w:rPr>
          <w:rFonts w:hint="eastAsia" w:ascii="仿宋_GB2312" w:eastAsia="仿宋_GB2312"/>
          <w:sz w:val="32"/>
          <w:szCs w:val="32"/>
        </w:rPr>
      </w:pPr>
      <w:r>
        <w:rPr>
          <w:rFonts w:hint="eastAsia" w:ascii="仿宋_GB2312" w:eastAsia="仿宋_GB2312"/>
          <w:b/>
          <w:bCs/>
          <w:sz w:val="32"/>
          <w:szCs w:val="32"/>
          <w:lang w:eastAsia="zh-CN"/>
        </w:rPr>
        <w:t>培育壮大文化产业。</w:t>
      </w:r>
      <w:r>
        <w:rPr>
          <w:rFonts w:hint="eastAsia" w:ascii="仿宋_GB2312" w:eastAsia="仿宋_GB2312"/>
          <w:sz w:val="32"/>
          <w:szCs w:val="32"/>
          <w:lang w:eastAsia="zh-CN"/>
        </w:rPr>
        <w:t>到</w:t>
      </w:r>
      <w:r>
        <w:rPr>
          <w:rFonts w:hint="eastAsia" w:ascii="仿宋_GB2312" w:eastAsia="仿宋_GB2312"/>
          <w:sz w:val="32"/>
          <w:szCs w:val="32"/>
          <w:lang w:val="en-US" w:eastAsia="zh-CN"/>
        </w:rPr>
        <w:t>2025年，培育5个以上具有一定影响力的文化龙头企业，文化产业规模位居全市前列。</w:t>
      </w:r>
      <w:r>
        <w:rPr>
          <w:rFonts w:hint="eastAsia" w:ascii="仿宋_GB2312" w:eastAsia="仿宋_GB2312"/>
          <w:sz w:val="32"/>
          <w:szCs w:val="32"/>
        </w:rPr>
        <w:t>集聚辖区大中院校</w:t>
      </w:r>
      <w:r>
        <w:rPr>
          <w:rFonts w:hint="eastAsia" w:ascii="仿宋_GB2312" w:eastAsia="仿宋_GB2312"/>
          <w:sz w:val="32"/>
          <w:szCs w:val="32"/>
          <w:lang w:eastAsia="zh-CN"/>
        </w:rPr>
        <w:t>及全区文化产业</w:t>
      </w:r>
      <w:r>
        <w:rPr>
          <w:rFonts w:hint="eastAsia" w:ascii="仿宋_GB2312" w:eastAsia="仿宋_GB2312"/>
          <w:sz w:val="32"/>
          <w:szCs w:val="32"/>
        </w:rPr>
        <w:t>优质资源，</w:t>
      </w:r>
      <w:r>
        <w:rPr>
          <w:rFonts w:hint="eastAsia" w:ascii="仿宋_GB2312" w:eastAsia="仿宋_GB2312"/>
          <w:sz w:val="32"/>
          <w:szCs w:val="32"/>
          <w:lang w:eastAsia="zh-CN"/>
        </w:rPr>
        <w:t>建立</w:t>
      </w:r>
      <w:r>
        <w:rPr>
          <w:rFonts w:hint="eastAsia" w:ascii="仿宋_GB2312" w:eastAsia="仿宋_GB2312"/>
          <w:sz w:val="32"/>
          <w:szCs w:val="32"/>
        </w:rPr>
        <w:t>区域性文化产业</w:t>
      </w:r>
      <w:r>
        <w:rPr>
          <w:rFonts w:hint="eastAsia" w:ascii="仿宋_GB2312" w:eastAsia="仿宋_GB2312"/>
          <w:sz w:val="32"/>
          <w:szCs w:val="32"/>
          <w:lang w:eastAsia="zh-CN"/>
        </w:rPr>
        <w:t>园区，推动文化产业高质量发展。加快</w:t>
      </w:r>
      <w:r>
        <w:rPr>
          <w:rFonts w:hint="eastAsia" w:ascii="仿宋_GB2312" w:eastAsia="仿宋_GB2312"/>
          <w:sz w:val="32"/>
          <w:szCs w:val="32"/>
        </w:rPr>
        <w:t>新兴业态发展</w:t>
      </w:r>
      <w:r>
        <w:rPr>
          <w:rFonts w:hint="eastAsia" w:ascii="仿宋_GB2312" w:eastAsia="仿宋_GB2312"/>
          <w:sz w:val="32"/>
          <w:szCs w:val="32"/>
          <w:lang w:eastAsia="zh-CN"/>
        </w:rPr>
        <w:t>。</w:t>
      </w:r>
      <w:r>
        <w:rPr>
          <w:rFonts w:hint="eastAsia" w:ascii="仿宋_GB2312" w:eastAsia="仿宋_GB2312"/>
          <w:sz w:val="32"/>
          <w:szCs w:val="32"/>
        </w:rPr>
        <w:t>围绕数字传媒、影视拍摄、动漫游戏、音视频直播等业态，着力建设视频直播共享基地，有声文学传播基地及文创产业孵化基地，使之成为文化爱民重要增长点。实施重点项目带动</w:t>
      </w:r>
      <w:r>
        <w:rPr>
          <w:rFonts w:hint="eastAsia" w:ascii="仿宋_GB2312" w:eastAsia="仿宋_GB2312"/>
          <w:sz w:val="32"/>
          <w:szCs w:val="32"/>
          <w:lang w:eastAsia="zh-CN"/>
        </w:rPr>
        <w:t>。</w:t>
      </w:r>
      <w:r>
        <w:rPr>
          <w:rFonts w:hint="eastAsia" w:ascii="仿宋_GB2312" w:eastAsia="仿宋_GB2312"/>
          <w:sz w:val="32"/>
          <w:szCs w:val="32"/>
        </w:rPr>
        <w:t>扶持古一文创、巴客电竞、微客映视等新文创企业做大做强，突出龙头企业示范效应及产业拉动作用，壮大优质多元文化市场主体。</w:t>
      </w:r>
      <w:r>
        <w:rPr>
          <w:rFonts w:hint="eastAsia" w:ascii="仿宋_GB2312" w:eastAsia="仿宋_GB2312"/>
          <w:sz w:val="32"/>
          <w:szCs w:val="32"/>
          <w:lang w:eastAsia="zh-CN"/>
        </w:rPr>
        <w:t>推动</w:t>
      </w:r>
      <w:r>
        <w:rPr>
          <w:rFonts w:hint="eastAsia" w:ascii="仿宋_GB2312" w:eastAsia="仿宋_GB2312"/>
          <w:sz w:val="32"/>
          <w:szCs w:val="32"/>
        </w:rPr>
        <w:t>文创产品研发。深入挖掘区内具有浓郁地方特色和民族特色的文创产品，重点加大对宠物龙猫、鸵鸟产业园、火山岩风景印刷、三道关黑木耳等特色农产品</w:t>
      </w:r>
      <w:r>
        <w:rPr>
          <w:rFonts w:hint="eastAsia" w:ascii="仿宋_GB2312" w:eastAsia="仿宋_GB2312"/>
          <w:sz w:val="32"/>
          <w:szCs w:val="32"/>
          <w:lang w:eastAsia="zh-CN"/>
        </w:rPr>
        <w:t>、</w:t>
      </w:r>
      <w:r>
        <w:rPr>
          <w:rFonts w:hint="eastAsia" w:ascii="仿宋_GB2312" w:eastAsia="仿宋_GB2312"/>
          <w:sz w:val="32"/>
          <w:szCs w:val="32"/>
        </w:rPr>
        <w:t>旅游纪念品的研发力度，突出作品原创性，打造一批具有核心竞争力的知名文创品牌，尽快将资源优势转化为产业优势和资本优势。</w:t>
      </w:r>
    </w:p>
    <w:p w14:paraId="6B47C8F9">
      <w:pPr>
        <w:pStyle w:val="2"/>
        <w:rPr>
          <w:rFonts w:hint="eastAsia"/>
        </w:rPr>
      </w:pPr>
    </w:p>
    <w:tbl>
      <w:tblPr>
        <w:tblStyle w:val="14"/>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3"/>
      </w:tblGrid>
      <w:tr w14:paraId="517D4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8363" w:type="dxa"/>
            <w:vAlign w:val="center"/>
          </w:tcPr>
          <w:p w14:paraId="0E512AB6">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hint="eastAsia" w:ascii="楷体" w:hAnsi="楷体" w:eastAsia="楷体" w:cs="楷体"/>
                <w:b/>
                <w:bCs/>
                <w:color w:val="000000" w:themeColor="text1"/>
                <w:sz w:val="28"/>
                <w:szCs w:val="28"/>
                <w14:textFill>
                  <w14:solidFill>
                    <w14:schemeClr w14:val="tx1"/>
                  </w14:solidFill>
                </w14:textFill>
              </w:rPr>
              <w:t xml:space="preserve">  </w:t>
            </w:r>
            <w:r>
              <w:rPr>
                <w:rFonts w:hint="eastAsia" w:ascii="楷体" w:hAnsi="楷体" w:eastAsia="楷体" w:cs="楷体"/>
                <w:color w:val="000000" w:themeColor="text1"/>
                <w:sz w:val="28"/>
                <w:szCs w:val="28"/>
                <w:lang w:val="en-US" w:eastAsia="zh-CN"/>
                <w14:textFill>
                  <w14:solidFill>
                    <w14:schemeClr w14:val="tx1"/>
                  </w14:solidFill>
                </w14:textFill>
              </w:rPr>
              <w:t xml:space="preserve"> 提升文化产业重点项目</w:t>
            </w:r>
          </w:p>
        </w:tc>
      </w:tr>
      <w:tr w14:paraId="6E8C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8363" w:type="dxa"/>
            <w:vAlign w:val="center"/>
          </w:tcPr>
          <w:p w14:paraId="5040F596">
            <w:pPr>
              <w:rPr>
                <w:rFonts w:hint="default" w:ascii="Times New Roman" w:hAnsi="Times New Roman" w:eastAsia="楷体_GB2312" w:cs="Times New Roman"/>
                <w:color w:val="000000" w:themeColor="text1"/>
                <w:kern w:val="0"/>
                <w:sz w:val="24"/>
                <w:szCs w:val="24"/>
                <w:lang w:val="en-US"/>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牡丹江古一文创产业园项目、牡丹江市历史文化展示馆项目、巴客元素电竞平台项目、新华国际影城等项目。</w:t>
            </w:r>
          </w:p>
        </w:tc>
      </w:tr>
    </w:tbl>
    <w:p w14:paraId="66B1D3D1">
      <w:pPr>
        <w:pStyle w:val="2"/>
        <w:rPr>
          <w:rFonts w:hint="eastAsia"/>
        </w:rPr>
      </w:pPr>
    </w:p>
    <w:p w14:paraId="34A14F53">
      <w:pPr>
        <w:pageBreakBefore w:val="0"/>
        <w:kinsoku/>
        <w:wordWrap/>
        <w:overflowPunct/>
        <w:topLinePunct w:val="0"/>
        <w:bidi w:val="0"/>
        <w:snapToGrid/>
        <w:spacing w:line="240" w:lineRule="auto"/>
        <w:ind w:left="0" w:leftChars="0" w:firstLine="643" w:firstLineChars="200"/>
        <w:rPr>
          <w:rFonts w:hint="eastAsia" w:ascii="仿宋" w:hAnsi="仿宋" w:eastAsia="仿宋" w:cs="仿宋"/>
          <w:sz w:val="32"/>
          <w:szCs w:val="32"/>
          <w:lang w:val="en-US" w:eastAsia="zh-CN"/>
        </w:rPr>
      </w:pPr>
      <w:r>
        <w:rPr>
          <w:rFonts w:hint="eastAsia" w:ascii="仿宋_GB2312" w:eastAsia="仿宋_GB2312"/>
          <w:b/>
          <w:bCs/>
          <w:sz w:val="32"/>
          <w:szCs w:val="32"/>
          <w:lang w:eastAsia="zh-CN"/>
        </w:rPr>
        <w:t>提升商贸服务业。</w:t>
      </w:r>
      <w:r>
        <w:rPr>
          <w:rFonts w:hint="eastAsia" w:ascii="仿宋" w:hAnsi="仿宋" w:eastAsia="仿宋" w:cs="仿宋"/>
          <w:sz w:val="32"/>
          <w:szCs w:val="32"/>
          <w:lang w:val="en-US" w:eastAsia="zh-CN"/>
        </w:rPr>
        <w:t>到2025年，商贸业主要指标GDP占比达到17%以上，落地千万元以上项目20个，其中亿元以上项目2个。依托商业网点布局现状,立足全市国土空间布局，建成以月星环球港与公铁联运交通枢纽为节点，以环球大道为中轴的全省东南部最大的商业集散中心。积极推动商贸综合体建设，重点推进秀水名誉商业综合体、月亮船智慧广场、百福隆凤凰城购物中心等项目建设。建设新华路、文化街、兴平路、北安路等特色商业街区。借助辖区大中专院校集聚优势，发展高校经济，全力建设牡丹江漫步人生艺术产业园、银河世界城市综合体和美达时尚生活商城等项目。高效利用闲置空间和铁路专用线，建设完善再生资源综合利用、国科恒泰医疗耗材综合服务、群力和拓臣钢材等专业批发市场。</w:t>
      </w:r>
    </w:p>
    <w:tbl>
      <w:tblPr>
        <w:tblStyle w:val="14"/>
        <w:tblW w:w="8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7058"/>
      </w:tblGrid>
      <w:tr w14:paraId="491AC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jc w:val="center"/>
        </w:trPr>
        <w:tc>
          <w:tcPr>
            <w:tcW w:w="8485" w:type="dxa"/>
            <w:gridSpan w:val="2"/>
            <w:vAlign w:val="center"/>
          </w:tcPr>
          <w:p w14:paraId="6DF14B0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3</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楷体" w:hAnsi="楷体" w:eastAsia="楷体" w:cs="楷体"/>
                <w:b/>
                <w:bCs/>
                <w:color w:val="000000" w:themeColor="text1"/>
                <w:sz w:val="28"/>
                <w:szCs w:val="28"/>
                <w14:textFill>
                  <w14:solidFill>
                    <w14:schemeClr w14:val="tx1"/>
                  </w14:solidFill>
                </w14:textFill>
              </w:rPr>
              <w:t xml:space="preserve"> </w:t>
            </w:r>
            <w:r>
              <w:rPr>
                <w:rFonts w:hint="eastAsia" w:ascii="楷体" w:hAnsi="楷体" w:eastAsia="楷体" w:cs="楷体"/>
                <w:color w:val="000000" w:themeColor="text1"/>
                <w:sz w:val="28"/>
                <w:szCs w:val="28"/>
                <w:lang w:val="en-US" w:eastAsia="zh-CN"/>
                <w14:textFill>
                  <w14:solidFill>
                    <w14:schemeClr w14:val="tx1"/>
                  </w14:solidFill>
                </w14:textFill>
              </w:rPr>
              <w:t xml:space="preserve"> 提升商贸服务业</w:t>
            </w:r>
          </w:p>
        </w:tc>
      </w:tr>
      <w:tr w14:paraId="37C91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27" w:type="dxa"/>
            <w:vAlign w:val="center"/>
          </w:tcPr>
          <w:p w14:paraId="002AA481">
            <w:pPr>
              <w:jc w:val="center"/>
              <w:rPr>
                <w:rFonts w:hint="eastAsia" w:ascii="Times New Roman" w:hAnsi="Times New Roman" w:eastAsia="楷体_GB2312" w:cs="Times New Roman"/>
                <w:b/>
                <w:bCs/>
                <w:color w:val="000000" w:themeColor="text1"/>
                <w:kern w:val="2"/>
                <w:sz w:val="24"/>
                <w:szCs w:val="24"/>
                <w:lang w:val="en-US" w:eastAsia="zh-CN" w:bidi="ar-SA"/>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7058" w:type="dxa"/>
            <w:vAlign w:val="center"/>
          </w:tcPr>
          <w:p w14:paraId="6803BC8D">
            <w:pPr>
              <w:jc w:val="center"/>
              <w:rPr>
                <w:rFonts w:hint="eastAsia" w:ascii="Times New Roman" w:hAnsi="Times New Roman" w:eastAsia="楷体_GB2312" w:cs="Times New Roman"/>
                <w:b/>
                <w:bCs/>
                <w:color w:val="000000" w:themeColor="text1"/>
                <w:kern w:val="2"/>
                <w:sz w:val="24"/>
                <w:szCs w:val="24"/>
                <w:lang w:val="en-US" w:eastAsia="zh-CN" w:bidi="ar-SA"/>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重点</w:t>
            </w:r>
            <w:r>
              <w:rPr>
                <w:rFonts w:hint="eastAsia" w:ascii="Times New Roman" w:hAnsi="Times New Roman" w:eastAsia="楷体_GB2312" w:cs="Times New Roman"/>
                <w:b/>
                <w:bCs/>
                <w:color w:val="000000" w:themeColor="text1"/>
                <w:sz w:val="24"/>
                <w:lang w:eastAsia="zh-CN"/>
                <w14:textFill>
                  <w14:solidFill>
                    <w14:schemeClr w14:val="tx1"/>
                  </w14:solidFill>
                </w14:textFill>
              </w:rPr>
              <w:t>工程和</w:t>
            </w:r>
            <w:r>
              <w:rPr>
                <w:rFonts w:ascii="Times New Roman" w:hAnsi="Times New Roman" w:eastAsia="楷体_GB2312" w:cs="Times New Roman"/>
                <w:b/>
                <w:bCs/>
                <w:color w:val="000000" w:themeColor="text1"/>
                <w:sz w:val="24"/>
                <w14:textFill>
                  <w14:solidFill>
                    <w14:schemeClr w14:val="tx1"/>
                  </w14:solidFill>
                </w14:textFill>
              </w:rPr>
              <w:t>项目</w:t>
            </w:r>
          </w:p>
        </w:tc>
      </w:tr>
      <w:tr w14:paraId="706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jc w:val="center"/>
        </w:trPr>
        <w:tc>
          <w:tcPr>
            <w:tcW w:w="1427" w:type="dxa"/>
            <w:vAlign w:val="center"/>
          </w:tcPr>
          <w:p w14:paraId="53CC7E0B">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特色商业街（区）</w:t>
            </w:r>
          </w:p>
        </w:tc>
        <w:tc>
          <w:tcPr>
            <w:tcW w:w="7058" w:type="dxa"/>
            <w:vAlign w:val="center"/>
          </w:tcPr>
          <w:p w14:paraId="209D4BD3">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发挥北站公铁联运交通枢纽的辐射效应</w:t>
            </w:r>
            <w:r>
              <w:rPr>
                <w:rFonts w:hint="eastAsia" w:ascii="楷体" w:hAnsi="楷体" w:eastAsia="楷体" w:cs="楷体"/>
                <w:color w:val="auto"/>
                <w:kern w:val="0"/>
                <w:sz w:val="24"/>
                <w:szCs w:val="24"/>
                <w:lang w:val="en-US" w:eastAsia="zh-CN"/>
              </w:rPr>
              <w:t>，进一步优化街区环境，完善周边设施，增强休闲娱乐功能，围绕新华路、北安路、兴平路和文化街打造商业街区，加快推进月星置业北站广场及停车场建设项目、金龙大学城特色商业街改造提升工程，谋划落地百福隆凤凰城购物中心项目、月亮船智慧广场项目、美达时尚生活广场等项目。引进品牌连锁、便民超市、文化教育、健身场馆等业态，满足居民日益增长的消费需求。</w:t>
            </w:r>
          </w:p>
        </w:tc>
      </w:tr>
      <w:tr w14:paraId="7D2E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427" w:type="dxa"/>
            <w:vAlign w:val="center"/>
          </w:tcPr>
          <w:p w14:paraId="2BDE0938">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商贸综合体</w:t>
            </w:r>
          </w:p>
        </w:tc>
        <w:tc>
          <w:tcPr>
            <w:tcW w:w="7058" w:type="dxa"/>
            <w:vAlign w:val="center"/>
          </w:tcPr>
          <w:p w14:paraId="36831B22">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重点推进月星环球港城市商业综合体项目、秀水名誉商业综合体项目和银河世界城市综合体等项目。</w:t>
            </w:r>
          </w:p>
        </w:tc>
      </w:tr>
      <w:tr w14:paraId="1C33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427" w:type="dxa"/>
            <w:vAlign w:val="center"/>
          </w:tcPr>
          <w:p w14:paraId="54307D16">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贸易中心（园区）</w:t>
            </w:r>
          </w:p>
        </w:tc>
        <w:tc>
          <w:tcPr>
            <w:tcW w:w="7058" w:type="dxa"/>
            <w:vAlign w:val="center"/>
          </w:tcPr>
          <w:p w14:paraId="050BEFEE">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国科恒泰医疗</w:t>
            </w:r>
            <w:r>
              <w:rPr>
                <w:rFonts w:hint="eastAsia" w:ascii="楷体" w:hAnsi="楷体" w:eastAsia="楷体" w:cs="楷体"/>
                <w:color w:val="auto"/>
                <w:kern w:val="0"/>
                <w:sz w:val="24"/>
                <w:szCs w:val="24"/>
                <w:lang w:val="en-US" w:eastAsia="zh-CN"/>
              </w:rPr>
              <w:t>耗</w:t>
            </w:r>
            <w:r>
              <w:rPr>
                <w:rFonts w:hint="eastAsia" w:ascii="楷体" w:hAnsi="楷体" w:eastAsia="楷体" w:cs="楷体"/>
                <w:color w:val="000000" w:themeColor="text1"/>
                <w:kern w:val="0"/>
                <w:sz w:val="24"/>
                <w:szCs w:val="24"/>
                <w:lang w:val="en-US" w:eastAsia="zh-CN"/>
                <w14:textFill>
                  <w14:solidFill>
                    <w14:schemeClr w14:val="tx1"/>
                  </w14:solidFill>
                </w14:textFill>
              </w:rPr>
              <w:t>材综合服务产业中心项目、牡丹江再生资源综合利用园区项目和万腾新型建材产业园等项目。</w:t>
            </w:r>
          </w:p>
        </w:tc>
      </w:tr>
      <w:tr w14:paraId="4CF9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1427" w:type="dxa"/>
            <w:vAlign w:val="center"/>
          </w:tcPr>
          <w:p w14:paraId="731FAAB3">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电商平台</w:t>
            </w:r>
          </w:p>
        </w:tc>
        <w:tc>
          <w:tcPr>
            <w:tcW w:w="7058" w:type="dxa"/>
            <w:vAlign w:val="center"/>
          </w:tcPr>
          <w:p w14:paraId="017E2039">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爱民区电商共享基地项目、仁合堂电子商务产业园项目、龙飞商贸东北特产网项目和邮政电商仓储中心等项目。</w:t>
            </w:r>
          </w:p>
        </w:tc>
      </w:tr>
    </w:tbl>
    <w:p w14:paraId="7AB28A89">
      <w:pPr>
        <w:pStyle w:val="2"/>
        <w:rPr>
          <w:rFonts w:hint="eastAsia"/>
          <w:lang w:val="en-US" w:eastAsia="zh-CN"/>
        </w:rPr>
      </w:pPr>
    </w:p>
    <w:p w14:paraId="70A729AE">
      <w:p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提升康养服务业。</w:t>
      </w:r>
      <w:r>
        <w:rPr>
          <w:rFonts w:hint="eastAsia" w:ascii="仿宋" w:hAnsi="仿宋" w:eastAsia="仿宋" w:cs="仿宋"/>
          <w:sz w:val="32"/>
          <w:szCs w:val="32"/>
          <w:lang w:eastAsia="zh-CN"/>
        </w:rPr>
        <w:t>全面落实国家、省、市养老服务政策，发挥自然资源和社会资源优势，全力推进医养、旅养“双结合”，促进康养事业与康养产业协调发展，实现康养社会服务和公共服务“双提高”。推动医疗康养深度结合。积极招引中医养生、保健、康复训练等项目落地。鼓励心血管医院、红旗医院、第一医院、林业医院及社区医疗机构，增设康养服务，开办医疗康养机构。重点推进心血管、怡馨园、晟康乐等</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个医养结合养护中心项目建设。大力发展“候鸟式”旅游养老项目。重点推进三道关旅游康养生态小镇建设。扶持社会养老机构发展壮大。鼓励社会力量开办养老机构，参与居家养老，提供日间照料、家庭护理等专业服务。重点推进圣林、北方乐园、仁爱等</w:t>
      </w:r>
      <w:r>
        <w:rPr>
          <w:rFonts w:hint="eastAsia" w:ascii="仿宋" w:hAnsi="仿宋" w:eastAsia="仿宋" w:cs="仿宋"/>
          <w:sz w:val="32"/>
          <w:szCs w:val="32"/>
          <w:lang w:val="en-US" w:eastAsia="zh-CN"/>
        </w:rPr>
        <w:t>10个养老机构扩大规模。做好公共养老服务。进一步完善养老服务网络，在7个街道办事处和17个社区建设养老服务驿站，形成“一刻钟”养老服务圈。落实兜底政策，新建1处特困人员供养机构，年服务特困老人500人次以上。到2025年，每千名老人拥有床位数达到40张以上，护理型床位占比达到50%以上，新建小区养老服务设施配套率、街道居家养老服务设施覆盖率、城区社区日间照料机构覆盖率、养老机构与医疗机构签约率全部达到100%，专业养老社工与老年人比例达到1‰。</w:t>
      </w:r>
    </w:p>
    <w:p w14:paraId="716AE065">
      <w:pPr>
        <w:pStyle w:val="2"/>
        <w:rPr>
          <w:rFonts w:hint="eastAsia"/>
        </w:rPr>
      </w:pPr>
    </w:p>
    <w:tbl>
      <w:tblPr>
        <w:tblStyle w:val="14"/>
        <w:tblpPr w:leftFromText="180" w:rightFromText="180" w:vertAnchor="text" w:horzAnchor="page" w:tblpXSpec="center" w:tblpY="-23"/>
        <w:tblOverlap w:val="never"/>
        <w:tblW w:w="8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7100"/>
      </w:tblGrid>
      <w:tr w14:paraId="3BA6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8534" w:type="dxa"/>
            <w:gridSpan w:val="2"/>
            <w:vAlign w:val="center"/>
          </w:tcPr>
          <w:p w14:paraId="04479B17">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楷体" w:hAnsi="楷体" w:eastAsia="楷体" w:cs="楷体"/>
                <w:b/>
                <w:bCs/>
                <w:color w:val="000000" w:themeColor="text1"/>
                <w:sz w:val="28"/>
                <w:szCs w:val="28"/>
                <w14:textFill>
                  <w14:solidFill>
                    <w14:schemeClr w14:val="tx1"/>
                  </w14:solidFill>
                </w14:textFill>
              </w:rPr>
              <w:t xml:space="preserve">  </w:t>
            </w:r>
            <w:r>
              <w:rPr>
                <w:rFonts w:hint="eastAsia" w:ascii="楷体" w:hAnsi="楷体" w:eastAsia="楷体" w:cs="楷体"/>
                <w:color w:val="000000" w:themeColor="text1"/>
                <w:sz w:val="28"/>
                <w:szCs w:val="28"/>
                <w:lang w:val="en-US" w:eastAsia="zh-CN"/>
                <w14:textFill>
                  <w14:solidFill>
                    <w14:schemeClr w14:val="tx1"/>
                  </w14:solidFill>
                </w14:textFill>
              </w:rPr>
              <w:t xml:space="preserve"> 提升健康服务业重点工程和项目</w:t>
            </w:r>
          </w:p>
        </w:tc>
      </w:tr>
      <w:tr w14:paraId="669C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434" w:type="dxa"/>
            <w:vAlign w:val="center"/>
          </w:tcPr>
          <w:p w14:paraId="6486FBE1">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康养小镇</w:t>
            </w:r>
          </w:p>
        </w:tc>
        <w:tc>
          <w:tcPr>
            <w:tcW w:w="7100" w:type="dxa"/>
            <w:vAlign w:val="center"/>
          </w:tcPr>
          <w:p w14:paraId="7CADD9FB">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三道关生态康养小镇项目。</w:t>
            </w:r>
          </w:p>
        </w:tc>
      </w:tr>
      <w:tr w14:paraId="42031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434" w:type="dxa"/>
            <w:vAlign w:val="center"/>
          </w:tcPr>
          <w:p w14:paraId="19C49B58">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公办敬老院</w:t>
            </w:r>
          </w:p>
        </w:tc>
        <w:tc>
          <w:tcPr>
            <w:tcW w:w="7100" w:type="dxa"/>
            <w:vAlign w:val="center"/>
          </w:tcPr>
          <w:p w14:paraId="410222F6">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14:textFill>
                  <w14:solidFill>
                    <w14:schemeClr w14:val="tx1"/>
                  </w14:solidFill>
                </w14:textFill>
              </w:rPr>
              <w:t>爱民区特困供养敬老院</w:t>
            </w:r>
            <w:r>
              <w:rPr>
                <w:rFonts w:hint="eastAsia" w:ascii="楷体" w:hAnsi="楷体" w:eastAsia="楷体" w:cs="楷体"/>
                <w:color w:val="000000" w:themeColor="text1"/>
                <w:kern w:val="0"/>
                <w:sz w:val="24"/>
                <w:szCs w:val="24"/>
                <w:lang w:val="en-US" w:eastAsia="zh-CN"/>
                <w14:textFill>
                  <w14:solidFill>
                    <w14:schemeClr w14:val="tx1"/>
                  </w14:solidFill>
                </w14:textFill>
              </w:rPr>
              <w:t>项目。</w:t>
            </w:r>
          </w:p>
        </w:tc>
      </w:tr>
      <w:tr w14:paraId="7EE1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434" w:type="dxa"/>
            <w:vAlign w:val="center"/>
          </w:tcPr>
          <w:p w14:paraId="1D676775">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医养结合老年养护中心</w:t>
            </w:r>
          </w:p>
        </w:tc>
        <w:tc>
          <w:tcPr>
            <w:tcW w:w="7100" w:type="dxa"/>
            <w:vAlign w:val="center"/>
          </w:tcPr>
          <w:p w14:paraId="020E7214">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康寿苑老年养护中心项目、晟康乐医养中心牡丹江市疗养院项目、圣林老年休养中心二期（老年公寓）改造工程项目、北方乐园老年颐养院二期项目、颐和医养结合老年养护中心项目、乐怡莱医养结合老年养护中心项目、仁爱老年养护中心等项目。</w:t>
            </w:r>
          </w:p>
        </w:tc>
      </w:tr>
      <w:tr w14:paraId="7AC7E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1434" w:type="dxa"/>
            <w:vAlign w:val="center"/>
          </w:tcPr>
          <w:p w14:paraId="2768C57B">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居家养老服务驿站</w:t>
            </w:r>
          </w:p>
        </w:tc>
        <w:tc>
          <w:tcPr>
            <w:tcW w:w="7100" w:type="dxa"/>
            <w:vAlign w:val="center"/>
          </w:tcPr>
          <w:p w14:paraId="79F26C20">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进一步完善养老机构网络，保障老年人的基本生活需要。在7个街道办事处和17个具备条件的社区建设包含生活服务区、康复护理区、日间照料区、文娱活动区和辅助功能区的养老服务驿站等项目。</w:t>
            </w:r>
          </w:p>
        </w:tc>
      </w:tr>
    </w:tbl>
    <w:p w14:paraId="5B536280">
      <w:pPr>
        <w:pStyle w:val="4"/>
        <w:keepNext w:val="0"/>
        <w:keepLines w:val="0"/>
        <w:pageBreakBefore w:val="0"/>
        <w:widowControl w:val="0"/>
        <w:kinsoku/>
        <w:wordWrap/>
        <w:overflowPunct/>
        <w:topLinePunct w:val="0"/>
        <w:autoSpaceDE/>
        <w:autoSpaceDN/>
        <w:bidi w:val="0"/>
        <w:adjustRightInd/>
        <w:snapToGrid/>
        <w:spacing w:before="0" w:after="0" w:line="240" w:lineRule="auto"/>
        <w:ind w:left="0" w:leftChars="0" w:firstLine="643" w:firstLineChars="200"/>
        <w:jc w:val="both"/>
        <w:textAlignment w:val="auto"/>
        <w:rPr>
          <w:rFonts w:hint="eastAsia" w:ascii="仿宋" w:hAnsi="仿宋" w:eastAsia="仿宋" w:cs="仿宋"/>
          <w:b w:val="0"/>
          <w:bCs w:val="0"/>
          <w:sz w:val="32"/>
          <w:szCs w:val="32"/>
          <w:lang w:eastAsia="zh-CN"/>
        </w:rPr>
      </w:pPr>
      <w:r>
        <w:rPr>
          <w:rFonts w:hint="eastAsia" w:ascii="仿宋_GB2312" w:eastAsia="仿宋_GB2312"/>
          <w:b/>
          <w:bCs/>
          <w:sz w:val="32"/>
          <w:szCs w:val="32"/>
          <w:lang w:eastAsia="zh-CN"/>
        </w:rPr>
        <w:t>提升现代物流业。</w:t>
      </w:r>
      <w:r>
        <w:rPr>
          <w:rFonts w:hint="eastAsia" w:ascii="仿宋_GB2312" w:eastAsia="仿宋_GB2312"/>
          <w:b w:val="0"/>
          <w:bCs w:val="0"/>
          <w:sz w:val="32"/>
          <w:szCs w:val="32"/>
          <w:lang w:eastAsia="zh-CN"/>
        </w:rPr>
        <w:t>到</w:t>
      </w:r>
      <w:r>
        <w:rPr>
          <w:rFonts w:hint="eastAsia" w:ascii="仿宋_GB2312" w:eastAsia="仿宋_GB2312"/>
          <w:b w:val="0"/>
          <w:bCs w:val="0"/>
          <w:sz w:val="32"/>
          <w:szCs w:val="32"/>
          <w:lang w:val="en-US" w:eastAsia="zh-CN"/>
        </w:rPr>
        <w:t>2025年，具有一定规模的物流企业达到5家。</w:t>
      </w:r>
      <w:r>
        <w:rPr>
          <w:rFonts w:hint="eastAsia" w:ascii="仿宋" w:hAnsi="仿宋" w:eastAsia="仿宋" w:cs="仿宋"/>
          <w:b w:val="0"/>
          <w:bCs w:val="0"/>
          <w:sz w:val="32"/>
          <w:szCs w:val="32"/>
        </w:rPr>
        <w:t>充</w:t>
      </w:r>
      <w:r>
        <w:rPr>
          <w:rFonts w:hint="eastAsia" w:ascii="仿宋" w:hAnsi="仿宋" w:eastAsia="仿宋" w:cs="仿宋"/>
          <w:b w:val="0"/>
          <w:bCs w:val="0"/>
          <w:sz w:val="32"/>
          <w:szCs w:val="32"/>
          <w:lang w:eastAsia="zh-CN"/>
        </w:rPr>
        <w:t>分利用哈牡、牡佳客运专线、公铁联运交通枢纽、城市西部入口等优势，建成牡丹江市的分拨配送中心。以商业储运公司片区为中心，打造物流商贸园区，发展仓储物流、运输服务、货运代理、批发配送等业务。加快建设牡三公路物流园区等项目</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lang w:eastAsia="zh-CN"/>
        </w:rPr>
        <w:t>鼓励区域内邮政、中铁、申丝等物流公司集聚发展，打造现代物流产业集群。</w:t>
      </w:r>
    </w:p>
    <w:p w14:paraId="501AE46B">
      <w:pPr>
        <w:pStyle w:val="2"/>
        <w:ind w:left="0" w:leftChars="0" w:firstLine="0" w:firstLineChars="0"/>
        <w:rPr>
          <w:rFonts w:hint="eastAsia"/>
        </w:rPr>
      </w:pPr>
    </w:p>
    <w:tbl>
      <w:tblPr>
        <w:tblStyle w:val="14"/>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0"/>
      </w:tblGrid>
      <w:tr w14:paraId="6A8DC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8480" w:type="dxa"/>
            <w:vAlign w:val="center"/>
          </w:tcPr>
          <w:p w14:paraId="47007EB7">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5</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楷体" w:hAnsi="楷体" w:eastAsia="楷体" w:cs="楷体"/>
                <w:b/>
                <w:bCs/>
                <w:color w:val="000000" w:themeColor="text1"/>
                <w:sz w:val="28"/>
                <w:szCs w:val="28"/>
                <w14:textFill>
                  <w14:solidFill>
                    <w14:schemeClr w14:val="tx1"/>
                  </w14:solidFill>
                </w14:textFill>
              </w:rPr>
              <w:t xml:space="preserve">  </w:t>
            </w:r>
            <w:r>
              <w:rPr>
                <w:rFonts w:hint="eastAsia" w:ascii="楷体" w:hAnsi="楷体" w:eastAsia="楷体" w:cs="楷体"/>
                <w:color w:val="000000" w:themeColor="text1"/>
                <w:sz w:val="28"/>
                <w:szCs w:val="28"/>
                <w:lang w:val="en-US" w:eastAsia="zh-CN"/>
                <w14:textFill>
                  <w14:solidFill>
                    <w14:schemeClr w14:val="tx1"/>
                  </w14:solidFill>
                </w14:textFill>
              </w:rPr>
              <w:t xml:space="preserve"> 提升现代物流业重点项目</w:t>
            </w:r>
          </w:p>
        </w:tc>
      </w:tr>
      <w:tr w14:paraId="44C3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8480" w:type="dxa"/>
            <w:vAlign w:val="center"/>
          </w:tcPr>
          <w:p w14:paraId="63BC185B">
            <w:pPr>
              <w:rPr>
                <w:rFonts w:hint="default" w:ascii="Times New Roman" w:hAnsi="Times New Roman" w:eastAsia="楷体_GB2312" w:cs="Times New Roman"/>
                <w:color w:val="000000" w:themeColor="text1"/>
                <w:kern w:val="0"/>
                <w:sz w:val="24"/>
                <w:szCs w:val="24"/>
                <w:lang w:val="en-US"/>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牡三公路物流园区项目、邮政物流园项目、嘉通医药物流二期扩建项目、商业储运公司招商合作等项目。</w:t>
            </w:r>
          </w:p>
        </w:tc>
      </w:tr>
    </w:tbl>
    <w:p w14:paraId="50B99756">
      <w:pPr>
        <w:pStyle w:val="2"/>
        <w:rPr>
          <w:rFonts w:hint="eastAsia"/>
        </w:rPr>
      </w:pPr>
    </w:p>
    <w:p w14:paraId="6835F22E">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第三节  强力提升房地产业</w:t>
      </w:r>
    </w:p>
    <w:p w14:paraId="0591A9CD">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加快房地产业供给侧结构性改革，以需求为导向提高供给质量，满足进城农民、居民改善性住房等不同需求。力争到2025年，全区房地产开发建设收入贡献率不低于40%。</w:t>
      </w:r>
    </w:p>
    <w:p w14:paraId="67940733">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利用2021年国土空间规划调整、工业企业“退二进三”、城市预留空间等契机，谋划新的房地产项目，力争9个项目实现开盘销售。重点推进军马场棚户区改造、爱民综合批发大市场、华安塑材锹厂、迈克机床、轴承厂、鸿利化工周边、红林化工等项目建设。采取借助市城投房源、降低土地征收成本、招引开发商等多种方式，盘活原有停滞项目。力争5个项目开复工建设或回迁安置。重点解决社会关注的金邸公馆、8号棚户区、11号二期等遗留问题，安置动迁户，重新启动项目。</w:t>
      </w:r>
    </w:p>
    <w:p w14:paraId="6D68FA4D">
      <w:pPr>
        <w:pStyle w:val="2"/>
        <w:rPr>
          <w:rFonts w:hint="eastAsia"/>
          <w:lang w:val="en-US" w:eastAsia="zh-CN"/>
        </w:rPr>
      </w:pPr>
    </w:p>
    <w:tbl>
      <w:tblPr>
        <w:tblStyle w:val="14"/>
        <w:tblW w:w="8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7"/>
        <w:gridCol w:w="7348"/>
      </w:tblGrid>
      <w:tr w14:paraId="73041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8995" w:type="dxa"/>
            <w:gridSpan w:val="2"/>
            <w:vAlign w:val="center"/>
          </w:tcPr>
          <w:p w14:paraId="46066936">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hint="eastAsia" w:ascii="楷体" w:hAnsi="楷体" w:eastAsia="楷体" w:cs="楷体"/>
                <w:b/>
                <w:bCs/>
                <w:color w:val="000000" w:themeColor="text1"/>
                <w:sz w:val="28"/>
                <w:szCs w:val="28"/>
                <w14:textFill>
                  <w14:solidFill>
                    <w14:schemeClr w14:val="tx1"/>
                  </w14:solidFill>
                </w14:textFill>
              </w:rPr>
              <w:t>专栏</w:t>
            </w:r>
            <w:r>
              <w:rPr>
                <w:rFonts w:hint="eastAsia" w:ascii="楷体" w:hAnsi="楷体" w:eastAsia="楷体" w:cs="楷体"/>
                <w:b/>
                <w:bCs/>
                <w:color w:val="000000" w:themeColor="text1"/>
                <w:sz w:val="28"/>
                <w:szCs w:val="28"/>
                <w:lang w:val="en-US" w:eastAsia="zh-CN"/>
                <w14:textFill>
                  <w14:solidFill>
                    <w14:schemeClr w14:val="tx1"/>
                  </w14:solidFill>
                </w14:textFill>
              </w:rPr>
              <w:t>2</w:t>
            </w:r>
            <w:r>
              <w:rPr>
                <w:rFonts w:hint="eastAsia" w:ascii="楷体" w:hAnsi="楷体" w:eastAsia="楷体" w:cs="楷体"/>
                <w:b/>
                <w:bCs/>
                <w:color w:val="000000" w:themeColor="text1"/>
                <w:sz w:val="28"/>
                <w:szCs w:val="28"/>
                <w14:textFill>
                  <w14:solidFill>
                    <w14:schemeClr w14:val="tx1"/>
                  </w14:solidFill>
                </w14:textFill>
              </w:rPr>
              <w:t>-</w:t>
            </w:r>
            <w:r>
              <w:rPr>
                <w:rFonts w:hint="eastAsia" w:ascii="楷体" w:hAnsi="楷体" w:eastAsia="楷体" w:cs="楷体"/>
                <w:b/>
                <w:bCs/>
                <w:color w:val="000000" w:themeColor="text1"/>
                <w:sz w:val="28"/>
                <w:szCs w:val="28"/>
                <w:lang w:val="en-US" w:eastAsia="zh-CN"/>
                <w14:textFill>
                  <w14:solidFill>
                    <w14:schemeClr w14:val="tx1"/>
                  </w14:solidFill>
                </w14:textFill>
              </w:rPr>
              <w:t>3</w:t>
            </w:r>
            <w:r>
              <w:rPr>
                <w:rFonts w:hint="eastAsia" w:ascii="楷体" w:hAnsi="楷体" w:eastAsia="楷体" w:cs="楷体"/>
                <w:b/>
                <w:bCs/>
                <w:color w:val="000000" w:themeColor="text1"/>
                <w:sz w:val="28"/>
                <w:szCs w:val="28"/>
                <w14:textFill>
                  <w14:solidFill>
                    <w14:schemeClr w14:val="tx1"/>
                  </w14:solidFill>
                </w14:textFill>
              </w:rPr>
              <w:t xml:space="preserve">  </w:t>
            </w:r>
            <w:r>
              <w:rPr>
                <w:rFonts w:hint="eastAsia" w:ascii="楷体" w:hAnsi="楷体" w:eastAsia="楷体" w:cs="楷体"/>
                <w:color w:val="000000" w:themeColor="text1"/>
                <w:sz w:val="28"/>
                <w:szCs w:val="28"/>
                <w:lang w:val="en-US" w:eastAsia="zh-CN"/>
                <w14:textFill>
                  <w14:solidFill>
                    <w14:schemeClr w14:val="tx1"/>
                  </w14:solidFill>
                </w14:textFill>
              </w:rPr>
              <w:t xml:space="preserve"> 强力提升房地产业重点工程和项目</w:t>
            </w:r>
          </w:p>
        </w:tc>
      </w:tr>
      <w:tr w14:paraId="5413E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647" w:type="dxa"/>
            <w:vAlign w:val="center"/>
          </w:tcPr>
          <w:p w14:paraId="7FAA4EFC">
            <w:pPr>
              <w:jc w:val="center"/>
              <w:rPr>
                <w:rFonts w:hint="eastAsia" w:ascii="楷体" w:hAnsi="楷体" w:eastAsia="楷体" w:cs="楷体"/>
                <w:b/>
                <w:bCs/>
                <w:color w:val="000000" w:themeColor="text1"/>
                <w:sz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重点推进</w:t>
            </w:r>
          </w:p>
        </w:tc>
        <w:tc>
          <w:tcPr>
            <w:tcW w:w="7348" w:type="dxa"/>
            <w:vAlign w:val="center"/>
          </w:tcPr>
          <w:p w14:paraId="1584A6A9">
            <w:pPr>
              <w:jc w:val="left"/>
              <w:rPr>
                <w:rFonts w:hint="eastAsia" w:ascii="楷体" w:hAnsi="楷体" w:eastAsia="楷体" w:cs="楷体"/>
                <w:b/>
                <w:bCs/>
                <w:color w:val="000000" w:themeColor="text1"/>
                <w:sz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中农发军马场片区棚改综合体项目、尚品荣城商业综合体项目、哈尔滨运华房地产开发有限公司运华广场等项目。</w:t>
            </w:r>
          </w:p>
        </w:tc>
      </w:tr>
      <w:tr w14:paraId="209E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647" w:type="dxa"/>
            <w:vAlign w:val="center"/>
          </w:tcPr>
          <w:p w14:paraId="3B23674A">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重新启动</w:t>
            </w:r>
          </w:p>
        </w:tc>
        <w:tc>
          <w:tcPr>
            <w:tcW w:w="7348" w:type="dxa"/>
            <w:vAlign w:val="center"/>
          </w:tcPr>
          <w:p w14:paraId="64D43247">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8号棚户区项目、11号二期棚户区等项目。</w:t>
            </w:r>
          </w:p>
        </w:tc>
      </w:tr>
      <w:tr w14:paraId="4B983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647" w:type="dxa"/>
            <w:vAlign w:val="center"/>
          </w:tcPr>
          <w:p w14:paraId="448325BA">
            <w:pPr>
              <w:jc w:val="center"/>
              <w:rPr>
                <w:rFonts w:hint="eastAsia" w:ascii="楷体" w:hAnsi="楷体" w:eastAsia="楷体" w:cs="楷体"/>
                <w:color w:val="000000" w:themeColor="text1"/>
                <w:kern w:val="0"/>
                <w:sz w:val="24"/>
                <w:szCs w:val="24"/>
                <w:lang w:val="en-US"/>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谋划招商</w:t>
            </w:r>
          </w:p>
        </w:tc>
        <w:tc>
          <w:tcPr>
            <w:tcW w:w="7348" w:type="dxa"/>
            <w:vAlign w:val="center"/>
          </w:tcPr>
          <w:p w14:paraId="2BEA4F74">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鸿利化工房地产项目、迈克机床房地产项目、轴承厂房地产项目、华安塑材</w:t>
            </w:r>
            <w:r>
              <w:rPr>
                <w:rFonts w:hint="eastAsia" w:ascii="楷体" w:hAnsi="楷体" w:eastAsia="楷体" w:cs="楷体"/>
                <w:color w:val="auto"/>
                <w:kern w:val="0"/>
                <w:sz w:val="24"/>
                <w:szCs w:val="24"/>
                <w:lang w:val="en-US" w:eastAsia="zh-CN"/>
              </w:rPr>
              <w:t>锹</w:t>
            </w:r>
            <w:r>
              <w:rPr>
                <w:rFonts w:hint="eastAsia" w:ascii="楷体" w:hAnsi="楷体" w:eastAsia="楷体" w:cs="楷体"/>
                <w:color w:val="000000" w:themeColor="text1"/>
                <w:kern w:val="0"/>
                <w:sz w:val="24"/>
                <w:szCs w:val="24"/>
                <w:lang w:val="en-US" w:eastAsia="zh-CN"/>
                <w14:textFill>
                  <w14:solidFill>
                    <w14:schemeClr w14:val="tx1"/>
                  </w14:solidFill>
                </w14:textFill>
              </w:rPr>
              <w:t>厂等项目。</w:t>
            </w:r>
          </w:p>
        </w:tc>
      </w:tr>
    </w:tbl>
    <w:p w14:paraId="3F41163E">
      <w:pPr>
        <w:pStyle w:val="2"/>
        <w:rPr>
          <w:rFonts w:hint="default"/>
          <w:lang w:val="en-US" w:eastAsia="zh-CN"/>
        </w:rPr>
      </w:pPr>
    </w:p>
    <w:p w14:paraId="4A9C3843">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第四节  加快发展现代特色农业</w:t>
      </w:r>
    </w:p>
    <w:p w14:paraId="5E5E715F">
      <w:pPr>
        <w:pageBreakBefore w:val="0"/>
        <w:numPr>
          <w:ilvl w:val="0"/>
          <w:numId w:val="0"/>
        </w:numPr>
        <w:kinsoku/>
        <w:wordWrap/>
        <w:overflowPunct/>
        <w:topLinePunct w:val="0"/>
        <w:bidi w:val="0"/>
        <w:snapToGrid/>
        <w:spacing w:line="240" w:lineRule="auto"/>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充分利用我区近郊村多、军马场林地广、牡三公路带基础设施完善等优势，积极推进农业产业结构调整，加快现代特色农业发展步伐，积极发展特色林下、特色种植、特色养殖和精深加工，三类特色经济规模位居四城区前列。农业增加值力争年均增长5%。</w:t>
      </w:r>
      <w:r>
        <w:rPr>
          <w:rFonts w:hint="eastAsia" w:ascii="仿宋" w:hAnsi="仿宋" w:eastAsia="仿宋" w:cs="仿宋"/>
          <w:b/>
          <w:bCs/>
          <w:sz w:val="32"/>
          <w:szCs w:val="32"/>
          <w:lang w:val="en-US" w:eastAsia="zh-CN"/>
        </w:rPr>
        <w:t>打造特色</w:t>
      </w:r>
      <w:r>
        <w:rPr>
          <w:rFonts w:hint="eastAsia" w:ascii="仿宋" w:hAnsi="仿宋" w:eastAsia="仿宋" w:cs="仿宋"/>
          <w:b/>
          <w:bCs/>
          <w:sz w:val="32"/>
          <w:szCs w:val="32"/>
        </w:rPr>
        <w:t>林下经济</w:t>
      </w:r>
      <w:r>
        <w:rPr>
          <w:rFonts w:hint="eastAsia" w:ascii="宋体" w:hAnsi="宋体" w:eastAsia="宋体" w:cs="宋体"/>
          <w:sz w:val="32"/>
          <w:szCs w:val="32"/>
          <w:lang w:val="en-US" w:eastAsia="zh-CN"/>
        </w:rPr>
        <w:t>。</w:t>
      </w:r>
      <w:r>
        <w:rPr>
          <w:rFonts w:hint="eastAsia" w:ascii="仿宋" w:hAnsi="仿宋" w:eastAsia="仿宋" w:cs="仿宋"/>
          <w:sz w:val="32"/>
          <w:szCs w:val="32"/>
          <w:lang w:val="en-US" w:eastAsia="zh-CN"/>
        </w:rPr>
        <w:t>充分利用林下空间广阔的优势，大力发展林下经济作物。以培育壮大</w:t>
      </w:r>
      <w:r>
        <w:rPr>
          <w:rFonts w:hint="eastAsia" w:ascii="仿宋" w:hAnsi="仿宋" w:eastAsia="仿宋" w:cs="仿宋"/>
          <w:sz w:val="32"/>
          <w:szCs w:val="32"/>
        </w:rPr>
        <w:t>刺五加</w:t>
      </w:r>
      <w:r>
        <w:rPr>
          <w:rFonts w:hint="eastAsia" w:ascii="仿宋" w:hAnsi="仿宋" w:eastAsia="仿宋" w:cs="仿宋"/>
          <w:sz w:val="32"/>
          <w:szCs w:val="32"/>
          <w:lang w:eastAsia="zh-CN"/>
        </w:rPr>
        <w:t>、</w:t>
      </w:r>
      <w:r>
        <w:rPr>
          <w:rFonts w:hint="eastAsia" w:ascii="仿宋" w:hAnsi="仿宋" w:eastAsia="仿宋" w:cs="仿宋"/>
          <w:sz w:val="32"/>
          <w:szCs w:val="32"/>
        </w:rPr>
        <w:t>大</w:t>
      </w:r>
      <w:r>
        <w:rPr>
          <w:rFonts w:hint="eastAsia" w:ascii="仿宋" w:hAnsi="仿宋" w:eastAsia="仿宋" w:cs="仿宋"/>
          <w:sz w:val="32"/>
          <w:szCs w:val="32"/>
          <w:lang w:val="en-US" w:eastAsia="zh-CN"/>
        </w:rPr>
        <w:t>榛子</w:t>
      </w:r>
      <w:r>
        <w:rPr>
          <w:rFonts w:hint="eastAsia" w:ascii="仿宋" w:hAnsi="仿宋" w:eastAsia="仿宋" w:cs="仿宋"/>
          <w:sz w:val="32"/>
          <w:szCs w:val="32"/>
        </w:rPr>
        <w:t>、沙棘</w:t>
      </w:r>
      <w:r>
        <w:rPr>
          <w:rFonts w:hint="eastAsia" w:ascii="仿宋" w:hAnsi="仿宋" w:eastAsia="仿宋" w:cs="仿宋"/>
          <w:sz w:val="32"/>
          <w:szCs w:val="32"/>
          <w:lang w:val="en-US" w:eastAsia="zh-CN"/>
        </w:rPr>
        <w:t>三个产业基地为基础，带动</w:t>
      </w:r>
      <w:r>
        <w:rPr>
          <w:rFonts w:hint="eastAsia" w:ascii="仿宋" w:hAnsi="仿宋" w:eastAsia="仿宋" w:cs="仿宋"/>
          <w:sz w:val="32"/>
          <w:szCs w:val="32"/>
        </w:rPr>
        <w:t>寒地坚果</w:t>
      </w:r>
      <w:r>
        <w:rPr>
          <w:rFonts w:hint="eastAsia" w:ascii="仿宋" w:hAnsi="仿宋" w:eastAsia="仿宋" w:cs="仿宋"/>
          <w:sz w:val="32"/>
          <w:szCs w:val="32"/>
          <w:lang w:eastAsia="zh-CN"/>
        </w:rPr>
        <w:t>、</w:t>
      </w:r>
      <w:r>
        <w:rPr>
          <w:rFonts w:hint="eastAsia" w:ascii="仿宋" w:hAnsi="仿宋" w:eastAsia="仿宋" w:cs="仿宋"/>
          <w:sz w:val="32"/>
          <w:szCs w:val="32"/>
        </w:rPr>
        <w:t>浆果</w:t>
      </w:r>
      <w:r>
        <w:rPr>
          <w:rFonts w:hint="eastAsia" w:ascii="仿宋" w:hAnsi="仿宋" w:eastAsia="仿宋" w:cs="仿宋"/>
          <w:sz w:val="32"/>
          <w:szCs w:val="32"/>
          <w:lang w:val="en-US" w:eastAsia="zh-CN"/>
        </w:rPr>
        <w:t>及</w:t>
      </w:r>
      <w:r>
        <w:rPr>
          <w:rFonts w:hint="eastAsia" w:ascii="仿宋" w:hAnsi="仿宋" w:eastAsia="仿宋" w:cs="仿宋"/>
          <w:sz w:val="32"/>
          <w:szCs w:val="32"/>
        </w:rPr>
        <w:t>平贝、苍术等中药材</w:t>
      </w:r>
      <w:r>
        <w:rPr>
          <w:rFonts w:hint="eastAsia" w:ascii="仿宋" w:hAnsi="仿宋" w:eastAsia="仿宋" w:cs="仿宋"/>
          <w:sz w:val="32"/>
          <w:szCs w:val="32"/>
          <w:lang w:val="en-US" w:eastAsia="zh-CN"/>
        </w:rPr>
        <w:t>产业快速发展。2025年</w:t>
      </w:r>
      <w:r>
        <w:rPr>
          <w:rFonts w:hint="eastAsia" w:ascii="仿宋" w:hAnsi="仿宋" w:eastAsia="仿宋" w:cs="仿宋"/>
          <w:sz w:val="32"/>
          <w:szCs w:val="32"/>
        </w:rPr>
        <w:t>坚果浆果</w:t>
      </w:r>
      <w:r>
        <w:rPr>
          <w:rFonts w:hint="eastAsia" w:ascii="仿宋" w:hAnsi="仿宋" w:eastAsia="仿宋" w:cs="仿宋"/>
          <w:sz w:val="32"/>
          <w:szCs w:val="32"/>
          <w:lang w:val="en-US" w:eastAsia="zh-CN"/>
        </w:rPr>
        <w:t>、</w:t>
      </w:r>
      <w:r>
        <w:rPr>
          <w:rFonts w:hint="eastAsia" w:ascii="仿宋" w:hAnsi="仿宋" w:eastAsia="仿宋" w:cs="仿宋"/>
          <w:sz w:val="32"/>
          <w:szCs w:val="32"/>
        </w:rPr>
        <w:t>中药材</w:t>
      </w:r>
      <w:r>
        <w:rPr>
          <w:rFonts w:hint="eastAsia" w:ascii="仿宋" w:hAnsi="仿宋" w:eastAsia="仿宋" w:cs="仿宋"/>
          <w:sz w:val="32"/>
          <w:szCs w:val="32"/>
          <w:lang w:val="en-US" w:eastAsia="zh-CN"/>
        </w:rPr>
        <w:t>种植面积超过2000亩，完成2</w:t>
      </w:r>
      <w:r>
        <w:rPr>
          <w:rFonts w:hint="eastAsia" w:ascii="微软雅黑" w:hAnsi="微软雅黑" w:eastAsia="微软雅黑" w:cs="微软雅黑"/>
          <w:sz w:val="32"/>
          <w:szCs w:val="32"/>
          <w:lang w:val="en-US" w:eastAsia="zh-CN"/>
        </w:rPr>
        <w:t>~</w:t>
      </w:r>
      <w:r>
        <w:rPr>
          <w:rFonts w:hint="eastAsia" w:ascii="仿宋" w:hAnsi="仿宋" w:eastAsia="仿宋" w:cs="仿宋"/>
          <w:sz w:val="32"/>
          <w:szCs w:val="32"/>
          <w:lang w:val="en-US" w:eastAsia="zh-CN"/>
        </w:rPr>
        <w:t>3个深加工项目建设。</w:t>
      </w:r>
      <w:r>
        <w:rPr>
          <w:rFonts w:hint="eastAsia" w:ascii="仿宋" w:hAnsi="仿宋" w:eastAsia="仿宋" w:cs="仿宋"/>
          <w:b/>
          <w:bCs/>
          <w:sz w:val="32"/>
          <w:szCs w:val="32"/>
          <w:lang w:val="en-US" w:eastAsia="zh-CN"/>
        </w:rPr>
        <w:t>打造特色种植经济。</w:t>
      </w:r>
      <w:r>
        <w:rPr>
          <w:rFonts w:hint="eastAsia" w:ascii="仿宋" w:hAnsi="仿宋" w:eastAsia="仿宋" w:cs="仿宋"/>
          <w:i w:val="0"/>
          <w:caps w:val="0"/>
          <w:color w:val="000000" w:themeColor="text1"/>
          <w:spacing w:val="0"/>
          <w:sz w:val="32"/>
          <w:szCs w:val="32"/>
          <w:shd w:val="clear" w:fill="FFFFFF"/>
          <w:lang w:val="en-US" w:eastAsia="zh-CN"/>
          <w14:textFill>
            <w14:solidFill>
              <w14:schemeClr w14:val="tx1"/>
            </w14:solidFill>
          </w14:textFill>
        </w:rPr>
        <w:t>推进丰收莓瑰草莓园扩产增效，五年内完成20栋高效节能绿色日光温室建设。打造全省最大的冬季草莓采摘基地，实现棚室果蔬立体栽培。打造“南果北移”生产基地，推进丰收大地百果园二期项目建设，完成20</w:t>
      </w:r>
      <w:r>
        <w:rPr>
          <w:rFonts w:hint="eastAsia" w:ascii="微软雅黑" w:hAnsi="微软雅黑" w:eastAsia="微软雅黑" w:cs="微软雅黑"/>
          <w:sz w:val="32"/>
          <w:szCs w:val="32"/>
          <w:lang w:val="en-US" w:eastAsia="zh-CN"/>
        </w:rPr>
        <w:t>~</w:t>
      </w:r>
      <w:r>
        <w:rPr>
          <w:rFonts w:hint="eastAsia" w:ascii="仿宋" w:hAnsi="仿宋" w:eastAsia="仿宋" w:cs="仿宋"/>
          <w:sz w:val="32"/>
          <w:szCs w:val="32"/>
          <w:lang w:val="en-US" w:eastAsia="zh-CN"/>
        </w:rPr>
        <w:t>35万棵黄桃栽培。</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实现</w:t>
      </w:r>
      <w:r>
        <w:rPr>
          <w:rFonts w:hint="eastAsia" w:ascii="仿宋" w:hAnsi="仿宋" w:eastAsia="仿宋" w:cs="仿宋"/>
          <w:sz w:val="32"/>
          <w:szCs w:val="32"/>
          <w:lang w:val="en-US" w:eastAsia="zh-CN"/>
        </w:rPr>
        <w:t>果菜产业</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精细化、高效化与绿色化</w:t>
      </w:r>
      <w:r>
        <w:rPr>
          <w:rFonts w:hint="eastAsia" w:ascii="仿宋" w:hAnsi="仿宋" w:eastAsia="仿宋" w:cs="仿宋"/>
          <w:sz w:val="32"/>
          <w:szCs w:val="32"/>
          <w:lang w:val="en-US" w:eastAsia="zh-CN"/>
        </w:rPr>
        <w:t>快速发展，</w:t>
      </w:r>
      <w:r>
        <w:rPr>
          <w:rFonts w:hint="eastAsia" w:ascii="仿宋" w:hAnsi="仿宋" w:eastAsia="仿宋" w:cs="仿宋"/>
          <w:b w:val="0"/>
          <w:bCs/>
          <w:sz w:val="32"/>
          <w:lang w:val="en-US" w:eastAsia="zh-CN"/>
        </w:rPr>
        <w:t>推动丰收大地百果园智慧农业项目建设。扩</w:t>
      </w:r>
      <w:r>
        <w:rPr>
          <w:rFonts w:hint="eastAsia" w:ascii="仿宋" w:hAnsi="仿宋" w:eastAsia="仿宋" w:cs="仿宋"/>
          <w:b w:val="0"/>
          <w:bCs/>
          <w:sz w:val="32"/>
        </w:rPr>
        <w:t>大</w:t>
      </w:r>
      <w:r>
        <w:rPr>
          <w:rFonts w:hint="eastAsia" w:ascii="仿宋" w:hAnsi="仿宋" w:eastAsia="仿宋" w:cs="仿宋"/>
          <w:b w:val="0"/>
          <w:bCs/>
          <w:sz w:val="32"/>
          <w:lang w:val="en-US" w:eastAsia="zh-CN"/>
        </w:rPr>
        <w:t>富硒有机蔬菜种植面积，充分发挥百禾农业富硒产品示范基地带动作用，引导农户由大田作物向有机蔬菜转型。做优“八达红、放牛黄”西红柿产业基地。推动花卉产业精品化发展，以八达绿化花卉、银龙盆景花卉产业为基础，扩大花卉产业种植规模。</w:t>
      </w:r>
      <w:r>
        <w:rPr>
          <w:rFonts w:hint="eastAsia" w:ascii="仿宋" w:hAnsi="仿宋" w:eastAsia="仿宋" w:cs="仿宋"/>
          <w:sz w:val="32"/>
          <w:szCs w:val="32"/>
          <w:lang w:val="en-US" w:eastAsia="zh-CN"/>
        </w:rPr>
        <w:t>实现食用菌产业高品质发展，</w:t>
      </w:r>
      <w:r>
        <w:rPr>
          <w:rFonts w:hint="eastAsia" w:ascii="仿宋" w:hAnsi="仿宋" w:eastAsia="仿宋" w:cs="仿宋"/>
          <w:b w:val="0"/>
          <w:bCs/>
          <w:sz w:val="32"/>
          <w:lang w:val="en-US" w:eastAsia="zh-CN"/>
        </w:rPr>
        <w:t>以三道关、丰收</w:t>
      </w:r>
      <w:r>
        <w:rPr>
          <w:rFonts w:hint="eastAsia" w:ascii="仿宋" w:hAnsi="仿宋" w:eastAsia="仿宋" w:cs="仿宋"/>
          <w:b w:val="0"/>
          <w:bCs w:val="0"/>
          <w:sz w:val="32"/>
          <w:szCs w:val="32"/>
          <w:lang w:val="en-US" w:eastAsia="zh-CN"/>
        </w:rPr>
        <w:t>食</w:t>
      </w:r>
      <w:r>
        <w:rPr>
          <w:rFonts w:hint="eastAsia" w:ascii="仿宋" w:hAnsi="仿宋" w:eastAsia="仿宋" w:cs="仿宋"/>
          <w:b w:val="0"/>
          <w:bCs w:val="0"/>
          <w:sz w:val="32"/>
          <w:szCs w:val="32"/>
        </w:rPr>
        <w:t>用菌</w:t>
      </w:r>
      <w:r>
        <w:rPr>
          <w:rFonts w:hint="eastAsia" w:ascii="仿宋" w:hAnsi="仿宋" w:eastAsia="仿宋" w:cs="仿宋"/>
          <w:b w:val="0"/>
          <w:bCs w:val="0"/>
          <w:sz w:val="32"/>
          <w:szCs w:val="32"/>
          <w:lang w:val="en-US" w:eastAsia="zh-CN"/>
        </w:rPr>
        <w:t>产业为基础，</w:t>
      </w:r>
      <w:r>
        <w:rPr>
          <w:rFonts w:hint="eastAsia" w:ascii="仿宋" w:hAnsi="仿宋" w:eastAsia="仿宋" w:cs="仿宋"/>
          <w:sz w:val="32"/>
          <w:szCs w:val="32"/>
          <w:lang w:val="en-US" w:eastAsia="zh-CN"/>
        </w:rPr>
        <w:t>加快榛蘑人工栽培技术的研发及种植推广</w:t>
      </w:r>
      <w:r>
        <w:rPr>
          <w:rFonts w:hint="eastAsia" w:ascii="仿宋" w:hAnsi="仿宋" w:eastAsia="仿宋" w:cs="仿宋"/>
          <w:sz w:val="32"/>
          <w:szCs w:val="32"/>
        </w:rPr>
        <w:t>，扩大滑子蘑、猴头菇、灵芝等高附加值菇类种植面积</w:t>
      </w:r>
      <w:r>
        <w:rPr>
          <w:rFonts w:hint="eastAsia" w:ascii="仿宋" w:hAnsi="仿宋" w:eastAsia="仿宋" w:cs="仿宋"/>
          <w:sz w:val="32"/>
          <w:szCs w:val="32"/>
          <w:lang w:eastAsia="zh-CN"/>
        </w:rPr>
        <w:t>。</w:t>
      </w:r>
      <w:r>
        <w:rPr>
          <w:rFonts w:ascii="仿宋" w:hAnsi="仿宋" w:eastAsia="仿宋"/>
          <w:bCs/>
          <w:sz w:val="32"/>
          <w:szCs w:val="32"/>
        </w:rPr>
        <w:t>打造“关药名城、康养福地”，叫响以“3宝6味12香”为代表的原生道地中药材品牌，</w:t>
      </w:r>
      <w:r>
        <w:rPr>
          <w:rFonts w:hint="eastAsia" w:ascii="仿宋" w:hAnsi="仿宋" w:eastAsia="仿宋"/>
          <w:bCs/>
          <w:sz w:val="32"/>
          <w:szCs w:val="32"/>
        </w:rPr>
        <w:t>争取列入牡丹江市中药材</w:t>
      </w:r>
      <w:r>
        <w:rPr>
          <w:rFonts w:ascii="仿宋" w:hAnsi="仿宋" w:eastAsia="仿宋"/>
          <w:bCs/>
          <w:sz w:val="32"/>
          <w:szCs w:val="32"/>
        </w:rPr>
        <w:t>园区，形成具有较高知名度和影响力的区域品牌、特色产品</w:t>
      </w:r>
      <w:r>
        <w:rPr>
          <w:rFonts w:hint="eastAsia" w:ascii="仿宋" w:hAnsi="仿宋" w:eastAsia="仿宋"/>
          <w:bCs/>
          <w:sz w:val="32"/>
          <w:szCs w:val="32"/>
        </w:rPr>
        <w:t>，</w:t>
      </w:r>
      <w:r>
        <w:rPr>
          <w:rFonts w:ascii="仿宋" w:hAnsi="仿宋" w:eastAsia="仿宋"/>
          <w:bCs/>
          <w:sz w:val="32"/>
          <w:szCs w:val="32"/>
        </w:rPr>
        <w:t>实现中药材种植、生产加工、商贸流通、健康服务等全产业链发展。</w:t>
      </w:r>
      <w:r>
        <w:rPr>
          <w:rFonts w:hint="eastAsia" w:ascii="仿宋" w:hAnsi="仿宋" w:eastAsia="仿宋" w:cs="仿宋"/>
          <w:b/>
          <w:bCs/>
          <w:sz w:val="32"/>
          <w:szCs w:val="32"/>
          <w:lang w:val="en-US" w:eastAsia="zh-CN"/>
        </w:rPr>
        <w:t>发展特色养殖经济。</w:t>
      </w:r>
      <w:r>
        <w:rPr>
          <w:rFonts w:hint="eastAsia" w:ascii="仿宋" w:hAnsi="仿宋" w:eastAsia="仿宋" w:cs="仿宋"/>
          <w:b w:val="0"/>
          <w:bCs w:val="0"/>
          <w:sz w:val="32"/>
          <w:szCs w:val="32"/>
          <w:lang w:val="en-US" w:eastAsia="zh-CN"/>
        </w:rPr>
        <w:t>加快发展猪、牛、羊、鸡等传统品种养殖，积极推进笨笨乐二期生猪养殖基地建设，扩大品牌效应，大力拓展省外市场。</w:t>
      </w:r>
      <w:r>
        <w:rPr>
          <w:rFonts w:hint="eastAsia" w:ascii="仿宋" w:hAnsi="仿宋" w:eastAsia="仿宋" w:cs="仿宋"/>
          <w:sz w:val="32"/>
          <w:szCs w:val="32"/>
          <w:lang w:val="en-US" w:eastAsia="zh-CN"/>
        </w:rPr>
        <w:t>打造本地特色养殖产业，</w:t>
      </w:r>
      <w:r>
        <w:rPr>
          <w:rFonts w:hint="eastAsia" w:ascii="仿宋" w:hAnsi="仿宋" w:eastAsia="仿宋" w:cs="仿宋"/>
          <w:sz w:val="32"/>
          <w:szCs w:val="32"/>
        </w:rPr>
        <w:t>深入挖掘</w:t>
      </w:r>
      <w:r>
        <w:rPr>
          <w:rFonts w:hint="eastAsia" w:ascii="仿宋" w:hAnsi="仿宋" w:eastAsia="仿宋" w:cs="仿宋"/>
          <w:sz w:val="32"/>
          <w:szCs w:val="32"/>
          <w:lang w:val="en-US" w:eastAsia="zh-CN"/>
        </w:rPr>
        <w:t>黑熊、</w:t>
      </w:r>
      <w:r>
        <w:rPr>
          <w:rFonts w:hint="eastAsia" w:ascii="仿宋" w:hAnsi="仿宋" w:eastAsia="仿宋" w:cs="仿宋"/>
          <w:sz w:val="32"/>
          <w:szCs w:val="32"/>
        </w:rPr>
        <w:t>龙猫、</w:t>
      </w:r>
      <w:r>
        <w:rPr>
          <w:rFonts w:hint="eastAsia" w:ascii="仿宋" w:hAnsi="仿宋" w:eastAsia="仿宋" w:cs="仿宋"/>
          <w:sz w:val="32"/>
          <w:szCs w:val="32"/>
          <w:lang w:eastAsia="zh-CN"/>
        </w:rPr>
        <w:t>鸵</w:t>
      </w:r>
      <w:r>
        <w:rPr>
          <w:rFonts w:hint="eastAsia" w:ascii="仿宋" w:hAnsi="仿宋" w:eastAsia="仿宋" w:cs="仿宋"/>
          <w:sz w:val="32"/>
          <w:szCs w:val="32"/>
        </w:rPr>
        <w:t>鸟</w:t>
      </w:r>
      <w:r>
        <w:rPr>
          <w:rFonts w:hint="eastAsia" w:ascii="仿宋" w:hAnsi="仿宋" w:eastAsia="仿宋" w:cs="仿宋"/>
          <w:sz w:val="32"/>
          <w:szCs w:val="32"/>
          <w:lang w:val="en-US" w:eastAsia="zh-CN"/>
        </w:rPr>
        <w:t>等优势特种</w:t>
      </w:r>
      <w:r>
        <w:rPr>
          <w:rFonts w:hint="eastAsia" w:ascii="仿宋" w:hAnsi="仿宋" w:eastAsia="仿宋" w:cs="仿宋"/>
          <w:sz w:val="32"/>
          <w:szCs w:val="32"/>
        </w:rPr>
        <w:t>养殖</w:t>
      </w:r>
      <w:r>
        <w:rPr>
          <w:rFonts w:hint="eastAsia" w:ascii="仿宋" w:hAnsi="仿宋" w:eastAsia="仿宋" w:cs="仿宋"/>
          <w:sz w:val="32"/>
          <w:szCs w:val="32"/>
          <w:lang w:val="en-US" w:eastAsia="zh-CN"/>
        </w:rPr>
        <w:t>产业的增值潜力</w:t>
      </w:r>
      <w:r>
        <w:rPr>
          <w:rFonts w:hint="eastAsia" w:ascii="仿宋" w:hAnsi="仿宋" w:eastAsia="仿宋" w:cs="仿宋"/>
          <w:sz w:val="32"/>
          <w:szCs w:val="32"/>
        </w:rPr>
        <w:t>，</w:t>
      </w:r>
      <w:r>
        <w:rPr>
          <w:rFonts w:hint="eastAsia" w:ascii="仿宋" w:hAnsi="仿宋" w:eastAsia="仿宋" w:cs="仿宋"/>
          <w:sz w:val="32"/>
          <w:szCs w:val="32"/>
          <w:lang w:val="en-US" w:eastAsia="zh-CN"/>
        </w:rPr>
        <w:t>扩大</w:t>
      </w:r>
      <w:r>
        <w:rPr>
          <w:rFonts w:hint="eastAsia" w:ascii="仿宋" w:hAnsi="仿宋" w:eastAsia="仿宋" w:cs="仿宋"/>
          <w:sz w:val="32"/>
          <w:szCs w:val="32"/>
        </w:rPr>
        <w:t>特色</w:t>
      </w:r>
      <w:r>
        <w:rPr>
          <w:rFonts w:hint="eastAsia" w:ascii="仿宋" w:hAnsi="仿宋" w:eastAsia="仿宋" w:cs="仿宋"/>
          <w:sz w:val="32"/>
          <w:szCs w:val="32"/>
          <w:lang w:val="en-US" w:eastAsia="zh-CN"/>
        </w:rPr>
        <w:t>养殖品种和规模。推动渔业养殖高品质发展，充分发挥爱民区山区冷水鱼资源优势，</w:t>
      </w:r>
      <w:r>
        <w:rPr>
          <w:rFonts w:hint="eastAsia" w:ascii="仿宋" w:hAnsi="仿宋" w:eastAsia="仿宋" w:cs="仿宋"/>
          <w:sz w:val="32"/>
          <w:szCs w:val="32"/>
          <w:lang w:eastAsia="zh-CN"/>
        </w:rPr>
        <w:t>推广</w:t>
      </w:r>
      <w:r>
        <w:rPr>
          <w:rFonts w:hint="eastAsia" w:ascii="仿宋" w:hAnsi="仿宋" w:eastAsia="仿宋" w:cs="仿宋"/>
          <w:sz w:val="32"/>
          <w:szCs w:val="32"/>
          <w:lang w:val="en-US" w:eastAsia="zh-CN"/>
        </w:rPr>
        <w:t>三道关大白鱼养殖成功经验，扩大冷水鱼特色养殖品种和规模。</w:t>
      </w:r>
    </w:p>
    <w:p w14:paraId="0344664C">
      <w:pPr>
        <w:pStyle w:val="2"/>
        <w:rPr>
          <w:rFonts w:hint="eastAsia"/>
          <w:lang w:val="en-US" w:eastAsia="zh-CN"/>
        </w:rPr>
      </w:pPr>
    </w:p>
    <w:tbl>
      <w:tblPr>
        <w:tblStyle w:val="14"/>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5"/>
        <w:gridCol w:w="7035"/>
      </w:tblGrid>
      <w:tr w14:paraId="58B1C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exact"/>
          <w:jc w:val="center"/>
        </w:trPr>
        <w:tc>
          <w:tcPr>
            <w:tcW w:w="8720" w:type="dxa"/>
            <w:gridSpan w:val="2"/>
            <w:vAlign w:val="center"/>
          </w:tcPr>
          <w:p w14:paraId="0A1E4FCB">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kern w:val="2"/>
                <w:sz w:val="28"/>
                <w:szCs w:val="28"/>
                <w:lang w:val="en-US" w:eastAsia="zh-CN" w:bidi="ar-SA"/>
                <w14:textFill>
                  <w14:solidFill>
                    <w14:schemeClr w14:val="tx1"/>
                  </w14:solidFill>
                </w14:textFill>
              </w:rPr>
              <w:t>加快发展现代特色农业</w:t>
            </w:r>
          </w:p>
        </w:tc>
      </w:tr>
      <w:tr w14:paraId="47D36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85" w:type="dxa"/>
            <w:vAlign w:val="center"/>
          </w:tcPr>
          <w:p w14:paraId="33B5E3E9">
            <w:pPr>
              <w:jc w:val="center"/>
              <w:rPr>
                <w:rFonts w:ascii="Times New Roman" w:hAnsi="Times New Roman" w:eastAsia="楷体_GB2312" w:cs="Times New Roman"/>
                <w:b/>
                <w:bCs/>
                <w:color w:val="000000" w:themeColor="text1"/>
                <w:sz w:val="24"/>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7035" w:type="dxa"/>
            <w:vAlign w:val="center"/>
          </w:tcPr>
          <w:p w14:paraId="5F4C8A58">
            <w:pPr>
              <w:jc w:val="center"/>
              <w:rPr>
                <w:rFonts w:ascii="Times New Roman" w:hAnsi="Times New Roman" w:eastAsia="楷体_GB2312" w:cs="Times New Roman"/>
                <w:b/>
                <w:bCs/>
                <w:color w:val="000000" w:themeColor="text1"/>
                <w:sz w:val="24"/>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重点项目</w:t>
            </w:r>
          </w:p>
        </w:tc>
      </w:tr>
      <w:tr w14:paraId="2CDB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685" w:type="dxa"/>
            <w:vAlign w:val="center"/>
          </w:tcPr>
          <w:p w14:paraId="4A956B5F">
            <w:pPr>
              <w:jc w:val="center"/>
              <w:rPr>
                <w:rFonts w:hint="eastAsia" w:ascii="楷体" w:hAnsi="楷体" w:eastAsia="楷体" w:cs="楷体"/>
                <w:color w:val="000000" w:themeColor="text1"/>
                <w:kern w:val="0"/>
                <w:sz w:val="24"/>
                <w:szCs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打造特色</w:t>
            </w:r>
            <w:r>
              <w:rPr>
                <w:rFonts w:hint="eastAsia" w:ascii="楷体" w:hAnsi="楷体" w:eastAsia="楷体" w:cs="楷体"/>
                <w:color w:val="000000" w:themeColor="text1"/>
                <w:kern w:val="0"/>
                <w:sz w:val="24"/>
                <w:szCs w:val="24"/>
                <w14:textFill>
                  <w14:solidFill>
                    <w14:schemeClr w14:val="tx1"/>
                  </w14:solidFill>
                </w14:textFill>
              </w:rPr>
              <w:t>林下经济</w:t>
            </w:r>
          </w:p>
        </w:tc>
        <w:tc>
          <w:tcPr>
            <w:tcW w:w="7035" w:type="dxa"/>
            <w:vAlign w:val="center"/>
          </w:tcPr>
          <w:p w14:paraId="364ED2D2">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14:textFill>
                  <w14:solidFill>
                    <w14:schemeClr w14:val="tx1"/>
                  </w14:solidFill>
                </w14:textFill>
              </w:rPr>
              <w:t>榛好林业有限公司榛子种植科技示范基地项目</w:t>
            </w:r>
            <w:r>
              <w:rPr>
                <w:rFonts w:hint="eastAsia" w:ascii="楷体" w:hAnsi="楷体" w:eastAsia="楷体" w:cs="楷体"/>
                <w:color w:val="000000" w:themeColor="text1"/>
                <w:kern w:val="0"/>
                <w:sz w:val="24"/>
                <w:szCs w:val="24"/>
                <w:lang w:eastAsia="zh-CN"/>
                <w14:textFill>
                  <w14:solidFill>
                    <w14:schemeClr w14:val="tx1"/>
                  </w14:solidFill>
                </w14:textFill>
              </w:rPr>
              <w:t>、</w:t>
            </w:r>
            <w:r>
              <w:rPr>
                <w:rFonts w:hint="eastAsia" w:ascii="楷体" w:hAnsi="楷体" w:eastAsia="楷体" w:cs="楷体"/>
                <w:color w:val="000000" w:themeColor="text1"/>
                <w:kern w:val="0"/>
                <w:sz w:val="24"/>
                <w:szCs w:val="24"/>
                <w:lang w:val="en-US" w:eastAsia="zh-CN"/>
                <w14:textFill>
                  <w14:solidFill>
                    <w14:schemeClr w14:val="tx1"/>
                  </w14:solidFill>
                </w14:textFill>
              </w:rPr>
              <w:t>三道</w:t>
            </w:r>
            <w:r>
              <w:rPr>
                <w:rFonts w:hint="eastAsia" w:ascii="楷体" w:hAnsi="楷体" w:eastAsia="楷体" w:cs="楷体"/>
                <w:color w:val="auto"/>
                <w:kern w:val="0"/>
                <w:sz w:val="24"/>
                <w:szCs w:val="24"/>
                <w:lang w:val="en-US" w:eastAsia="zh-CN"/>
              </w:rPr>
              <w:t>关刺五加、平贝</w:t>
            </w:r>
            <w:r>
              <w:rPr>
                <w:rFonts w:hint="eastAsia" w:ascii="楷体" w:hAnsi="楷体" w:eastAsia="楷体" w:cs="楷体"/>
                <w:color w:val="0000FF"/>
                <w:kern w:val="0"/>
                <w:sz w:val="24"/>
                <w:szCs w:val="24"/>
                <w:lang w:val="en-US" w:eastAsia="zh-CN"/>
              </w:rPr>
              <w:t>、</w:t>
            </w:r>
            <w:r>
              <w:rPr>
                <w:rFonts w:hint="eastAsia" w:ascii="楷体" w:hAnsi="楷体" w:eastAsia="楷体" w:cs="楷体"/>
                <w:color w:val="auto"/>
                <w:kern w:val="0"/>
                <w:sz w:val="24"/>
                <w:szCs w:val="24"/>
                <w:lang w:val="en-US" w:eastAsia="zh-CN"/>
              </w:rPr>
              <w:t>北</w:t>
            </w:r>
            <w:r>
              <w:rPr>
                <w:rFonts w:hint="eastAsia" w:ascii="楷体" w:hAnsi="楷体" w:eastAsia="楷体" w:cs="楷体"/>
                <w:color w:val="000000" w:themeColor="text1"/>
                <w:kern w:val="0"/>
                <w:sz w:val="24"/>
                <w:szCs w:val="24"/>
                <w:lang w:val="en-US" w:eastAsia="zh-CN"/>
                <w14:textFill>
                  <w14:solidFill>
                    <w14:schemeClr w14:val="tx1"/>
                  </w14:solidFill>
                </w14:textFill>
              </w:rPr>
              <w:t>五味等北药特色中药材种植等项目。</w:t>
            </w:r>
          </w:p>
        </w:tc>
      </w:tr>
      <w:tr w14:paraId="37A6F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685" w:type="dxa"/>
            <w:vAlign w:val="center"/>
          </w:tcPr>
          <w:p w14:paraId="140C7651">
            <w:pPr>
              <w:jc w:val="center"/>
              <w:rPr>
                <w:rFonts w:hint="eastAsia" w:ascii="楷体" w:hAnsi="楷体" w:eastAsia="楷体" w:cs="楷体"/>
                <w:color w:val="000000" w:themeColor="text1"/>
                <w:kern w:val="0"/>
                <w:sz w:val="24"/>
                <w:szCs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打造特色棚室种植经济</w:t>
            </w:r>
          </w:p>
        </w:tc>
        <w:tc>
          <w:tcPr>
            <w:tcW w:w="7035" w:type="dxa"/>
            <w:vAlign w:val="center"/>
          </w:tcPr>
          <w:p w14:paraId="1DDBFA10">
            <w:pPr>
              <w:rPr>
                <w:rFonts w:hint="eastAsia" w:ascii="楷体" w:hAnsi="楷体" w:eastAsia="楷体" w:cs="楷体"/>
                <w:color w:val="000000" w:themeColor="text1"/>
                <w:kern w:val="0"/>
                <w:sz w:val="24"/>
                <w:szCs w:val="24"/>
                <w:lang w:eastAsia="zh-CN"/>
                <w14:textFill>
                  <w14:solidFill>
                    <w14:schemeClr w14:val="tx1"/>
                  </w14:solidFill>
                </w14:textFill>
              </w:rPr>
            </w:pPr>
            <w:r>
              <w:rPr>
                <w:rFonts w:hint="eastAsia" w:ascii="楷体" w:hAnsi="楷体" w:eastAsia="楷体" w:cs="楷体"/>
                <w:color w:val="000000" w:themeColor="text1"/>
                <w:kern w:val="0"/>
                <w:sz w:val="24"/>
                <w:szCs w:val="24"/>
                <w14:textFill>
                  <w14:solidFill>
                    <w14:schemeClr w14:val="tx1"/>
                  </w14:solidFill>
                </w14:textFill>
              </w:rPr>
              <w:t>康顺嘉莓瑰现代农业草莓采摘园项目</w:t>
            </w:r>
            <w:r>
              <w:rPr>
                <w:rFonts w:hint="eastAsia" w:ascii="楷体" w:hAnsi="楷体" w:eastAsia="楷体" w:cs="楷体"/>
                <w:color w:val="000000" w:themeColor="text1"/>
                <w:kern w:val="0"/>
                <w:sz w:val="24"/>
                <w:szCs w:val="24"/>
                <w:lang w:eastAsia="zh-CN"/>
                <w14:textFill>
                  <w14:solidFill>
                    <w14:schemeClr w14:val="tx1"/>
                  </w14:solidFill>
                </w14:textFill>
              </w:rPr>
              <w:t>、</w:t>
            </w:r>
            <w:r>
              <w:rPr>
                <w:rFonts w:hint="eastAsia" w:ascii="楷体" w:hAnsi="楷体" w:eastAsia="楷体" w:cs="楷体"/>
                <w:color w:val="000000" w:themeColor="text1"/>
                <w:kern w:val="0"/>
                <w:sz w:val="24"/>
                <w:szCs w:val="24"/>
                <w:lang w:val="en-US" w:eastAsia="zh-CN"/>
                <w14:textFill>
                  <w14:solidFill>
                    <w14:schemeClr w14:val="tx1"/>
                  </w14:solidFill>
                </w14:textFill>
              </w:rPr>
              <w:t>丰收大地百果园二期、百禾富硒生态产业园项目</w:t>
            </w:r>
            <w:r>
              <w:rPr>
                <w:rFonts w:hint="eastAsia" w:ascii="楷体" w:hAnsi="楷体" w:eastAsia="楷体" w:cs="楷体"/>
                <w:color w:val="000000" w:themeColor="text1"/>
                <w:kern w:val="0"/>
                <w:sz w:val="24"/>
                <w:szCs w:val="24"/>
                <w:lang w:eastAsia="zh-CN"/>
                <w14:textFill>
                  <w14:solidFill>
                    <w14:schemeClr w14:val="tx1"/>
                  </w14:solidFill>
                </w14:textFill>
              </w:rPr>
              <w:t>、鸿禧山庄农业观光园等项目。</w:t>
            </w:r>
          </w:p>
        </w:tc>
      </w:tr>
      <w:tr w14:paraId="063F6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685" w:type="dxa"/>
            <w:vAlign w:val="center"/>
          </w:tcPr>
          <w:p w14:paraId="0D63A7C6">
            <w:pPr>
              <w:jc w:val="center"/>
              <w:rPr>
                <w:rFonts w:hint="eastAsia" w:ascii="楷体" w:hAnsi="楷体" w:eastAsia="楷体" w:cs="楷体"/>
                <w:color w:val="000000" w:themeColor="text1"/>
                <w:kern w:val="0"/>
                <w:sz w:val="24"/>
                <w:szCs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发展特色养殖经济</w:t>
            </w:r>
          </w:p>
        </w:tc>
        <w:tc>
          <w:tcPr>
            <w:tcW w:w="7035" w:type="dxa"/>
            <w:vAlign w:val="center"/>
          </w:tcPr>
          <w:p w14:paraId="10906703">
            <w:pPr>
              <w:rPr>
                <w:rFonts w:hint="eastAsia" w:ascii="楷体" w:hAnsi="楷体" w:eastAsia="楷体" w:cs="楷体"/>
                <w:color w:val="000000" w:themeColor="text1"/>
                <w:kern w:val="0"/>
                <w:sz w:val="24"/>
                <w:szCs w:val="24"/>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笨笨乐二期生猪养殖基地建设项目、俪宏鸵鸟养殖基地扩建项目、枫丹龙猫养殖基地项目、宏胜养猪场生猪养殖建设等项目。</w:t>
            </w:r>
          </w:p>
        </w:tc>
      </w:tr>
    </w:tbl>
    <w:p w14:paraId="7B9EA106">
      <w:pPr>
        <w:pStyle w:val="2"/>
        <w:rPr>
          <w:rFonts w:hint="default"/>
          <w:lang w:val="en-US" w:eastAsia="zh-CN"/>
        </w:rPr>
      </w:pPr>
    </w:p>
    <w:p w14:paraId="00CC696E">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第五节  强化园区和项目库建设</w:t>
      </w:r>
    </w:p>
    <w:p w14:paraId="71F66AA7">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仿宋_GB2312" w:eastAsia="仿宋_GB2312"/>
          <w:sz w:val="32"/>
          <w:szCs w:val="32"/>
          <w:lang w:eastAsia="zh-CN"/>
        </w:rPr>
      </w:pPr>
      <w:r>
        <w:rPr>
          <w:rFonts w:hint="eastAsia" w:ascii="仿宋_GB2312" w:eastAsia="仿宋_GB2312"/>
          <w:b/>
          <w:bCs/>
          <w:sz w:val="32"/>
          <w:szCs w:val="32"/>
          <w:lang w:eastAsia="zh-CN"/>
        </w:rPr>
        <w:t>强化产业园区建设。</w:t>
      </w:r>
      <w:r>
        <w:rPr>
          <w:rFonts w:hint="eastAsia" w:ascii="仿宋_GB2312" w:eastAsia="仿宋_GB2312"/>
          <w:sz w:val="32"/>
          <w:szCs w:val="32"/>
          <w:lang w:eastAsia="zh-CN"/>
        </w:rPr>
        <w:t>结合全市国土空间规划，</w:t>
      </w:r>
      <w:r>
        <w:rPr>
          <w:rFonts w:hint="eastAsia" w:ascii="仿宋_GB2312" w:eastAsia="仿宋_GB2312"/>
          <w:sz w:val="32"/>
          <w:szCs w:val="32"/>
        </w:rPr>
        <w:t>加强资源整合</w:t>
      </w:r>
      <w:r>
        <w:rPr>
          <w:rFonts w:hint="eastAsia" w:ascii="仿宋_GB2312" w:eastAsia="仿宋_GB2312"/>
          <w:sz w:val="32"/>
          <w:szCs w:val="32"/>
          <w:lang w:eastAsia="zh-CN"/>
        </w:rPr>
        <w:t>，与开发区及企业深度合作，</w:t>
      </w:r>
      <w:r>
        <w:rPr>
          <w:rFonts w:hint="eastAsia" w:ascii="仿宋_GB2312" w:eastAsia="仿宋_GB2312"/>
          <w:sz w:val="32"/>
          <w:szCs w:val="32"/>
        </w:rPr>
        <w:t>加快产业园区建设</w:t>
      </w:r>
      <w:r>
        <w:rPr>
          <w:rFonts w:hint="eastAsia" w:ascii="仿宋_GB2312" w:eastAsia="仿宋_GB2312"/>
          <w:sz w:val="32"/>
          <w:szCs w:val="32"/>
          <w:lang w:eastAsia="zh-CN"/>
        </w:rPr>
        <w:t>。力争到</w:t>
      </w:r>
      <w:r>
        <w:rPr>
          <w:rFonts w:hint="eastAsia" w:ascii="仿宋_GB2312" w:eastAsia="仿宋_GB2312"/>
          <w:sz w:val="32"/>
          <w:szCs w:val="32"/>
          <w:lang w:val="en-US" w:eastAsia="zh-CN"/>
        </w:rPr>
        <w:t>2025年，建成5个以上现代化产业园区。</w:t>
      </w:r>
      <w:r>
        <w:rPr>
          <w:rFonts w:hint="eastAsia" w:ascii="仿宋_GB2312" w:eastAsia="仿宋_GB2312"/>
          <w:sz w:val="32"/>
          <w:szCs w:val="32"/>
          <w:lang w:eastAsia="zh-CN"/>
        </w:rPr>
        <w:t>积极推进</w:t>
      </w:r>
      <w:r>
        <w:rPr>
          <w:rFonts w:hint="eastAsia" w:ascii="仿宋_GB2312" w:eastAsia="仿宋_GB2312"/>
          <w:sz w:val="32"/>
          <w:szCs w:val="32"/>
        </w:rPr>
        <w:t>富通</w:t>
      </w:r>
      <w:r>
        <w:rPr>
          <w:rFonts w:hint="eastAsia" w:ascii="仿宋_GB2312" w:eastAsia="仿宋_GB2312"/>
          <w:sz w:val="32"/>
          <w:szCs w:val="32"/>
          <w:lang w:eastAsia="zh-CN"/>
        </w:rPr>
        <w:t>空调配套</w:t>
      </w:r>
      <w:r>
        <w:rPr>
          <w:rFonts w:hint="eastAsia" w:ascii="仿宋_GB2312" w:eastAsia="仿宋_GB2312"/>
          <w:sz w:val="32"/>
          <w:szCs w:val="32"/>
        </w:rPr>
        <w:t>园区</w:t>
      </w:r>
      <w:r>
        <w:rPr>
          <w:rFonts w:hint="eastAsia" w:ascii="仿宋_GB2312" w:eastAsia="仿宋_GB2312"/>
          <w:sz w:val="32"/>
          <w:szCs w:val="32"/>
          <w:lang w:eastAsia="zh-CN"/>
        </w:rPr>
        <w:t>建设，实现</w:t>
      </w:r>
      <w:r>
        <w:rPr>
          <w:rFonts w:hint="eastAsia" w:ascii="仿宋_GB2312" w:eastAsia="仿宋_GB2312"/>
          <w:sz w:val="32"/>
          <w:szCs w:val="32"/>
        </w:rPr>
        <w:t>提档升级</w:t>
      </w:r>
      <w:r>
        <w:rPr>
          <w:rFonts w:hint="eastAsia" w:ascii="仿宋_GB2312" w:eastAsia="仿宋_GB2312"/>
          <w:sz w:val="32"/>
          <w:szCs w:val="32"/>
          <w:lang w:eastAsia="zh-CN"/>
        </w:rPr>
        <w:t>。</w:t>
      </w:r>
      <w:r>
        <w:rPr>
          <w:rFonts w:hint="eastAsia" w:ascii="仿宋_GB2312" w:eastAsia="仿宋_GB2312"/>
          <w:sz w:val="32"/>
          <w:szCs w:val="32"/>
          <w:lang w:val="en-US" w:eastAsia="zh-CN"/>
        </w:rPr>
        <w:t>加强与开发区、城投集团合作，推动大庆路专业园区建设。合理划分区域，在满足安全距离和环境防护的前提下，建设化工园区、装备制造园区、养生养老园区。深化与开发区合作，采取“一区两园”的方式，在大庆路东部片区建设大庆路化工园区，与桦林化工园区联合晋升省级园区，形成优势互补，产业协同发展。完善化工园区规划、基础设施、扶持政策，抓好项目谋划和招商引资，重点引进精细化工项目，形成位于全省前列的产业园区。深化与城投公司合作，利用大庆路中部收储土地，承接位于老城区内、需搬迁的工业企业，建设装备制造园区。在大庆路西片建设养生养老产业园区。推动老工业企业退二进三。按照全市总体规划，将城区内的工业企业逐步向园区聚集。利用</w:t>
      </w:r>
      <w:r>
        <w:rPr>
          <w:rFonts w:hint="eastAsia" w:ascii="仿宋_GB2312" w:eastAsia="仿宋_GB2312"/>
          <w:sz w:val="32"/>
          <w:szCs w:val="32"/>
          <w:lang w:eastAsia="zh-CN"/>
        </w:rPr>
        <w:t>煤焦化、金刚水泥、北方阀业闲置资产建设产业园区。</w:t>
      </w:r>
      <w:r>
        <w:rPr>
          <w:rFonts w:hint="eastAsia" w:ascii="仿宋_GB2312" w:hAnsi="仿宋_GB2312" w:eastAsia="仿宋_GB2312" w:cs="仿宋_GB2312"/>
          <w:sz w:val="32"/>
          <w:szCs w:val="32"/>
          <w:lang w:val="en-US" w:eastAsia="zh-CN"/>
        </w:rPr>
        <w:t>做大做强牡丹江再生资源综合利用园区，招引二手建材、二手家电商家进驻，成为全省规模最大的再生资源产业集聚区。</w:t>
      </w:r>
    </w:p>
    <w:p w14:paraId="5BC74321">
      <w:pPr>
        <w:pStyle w:val="2"/>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lang w:val="en-US" w:eastAsia="zh-CN"/>
        </w:rPr>
        <w:t>强化项目“四库”建设。</w:t>
      </w:r>
      <w:r>
        <w:rPr>
          <w:rFonts w:hint="eastAsia" w:ascii="仿宋" w:hAnsi="仿宋" w:eastAsia="仿宋" w:cs="仿宋"/>
          <w:color w:val="000000"/>
          <w:sz w:val="32"/>
          <w:szCs w:val="32"/>
          <w:lang w:val="en-US" w:eastAsia="zh-CN"/>
        </w:rPr>
        <w:t>做好项目谋划包装，深入分析GDP支撑构成，找准产业基础和优势，结合市“十四五”规划和空间布局，确定谋划包装、招商引资方向。认真谋划包装项目，形成谋划包装项目库。建立项目评估机制，组建专家队伍，评估筛选招商项目。聘请第三方专业机构，编撰可研报告，提高项目可研质量，形成高质量招商引资项目库。研究分析国内外投资趋势，产业方向和国家政策，瞄准长三角、京津冀等发达地区和世界500强企业投资方向，实施有效对接，建立对接洽谈项目库。将签约落地项目，纳入重点推进项目库，实行专班推进，确保项目落地。</w:t>
      </w:r>
    </w:p>
    <w:p w14:paraId="5A21E6B8">
      <w:pPr>
        <w:pStyle w:val="2"/>
        <w:rPr>
          <w:rFonts w:hint="eastAsia" w:ascii="仿宋" w:hAnsi="仿宋" w:eastAsia="仿宋" w:cs="仿宋"/>
          <w:color w:val="000000"/>
          <w:sz w:val="32"/>
          <w:szCs w:val="32"/>
          <w:lang w:val="en-US" w:eastAsia="zh-CN"/>
        </w:rPr>
      </w:pPr>
    </w:p>
    <w:tbl>
      <w:tblPr>
        <w:tblStyle w:val="14"/>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2"/>
        <w:gridCol w:w="7078"/>
      </w:tblGrid>
      <w:tr w14:paraId="3B4E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8800" w:type="dxa"/>
            <w:gridSpan w:val="2"/>
            <w:vAlign w:val="center"/>
          </w:tcPr>
          <w:p w14:paraId="29CA27CE">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default" w:ascii="Times New Roman" w:hAnsi="Times New Roman" w:eastAsia="宋体" w:cs="Times New Roman"/>
                <w:color w:val="000000" w:themeColor="text1"/>
                <w:sz w:val="22"/>
                <w:lang w:val="en-US"/>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5</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kern w:val="2"/>
                <w:sz w:val="28"/>
                <w:szCs w:val="28"/>
                <w:lang w:val="en-US" w:eastAsia="zh-CN" w:bidi="ar-SA"/>
                <w14:textFill>
                  <w14:solidFill>
                    <w14:schemeClr w14:val="tx1"/>
                  </w14:solidFill>
                </w14:textFill>
              </w:rPr>
              <w:t>强化工业园区建设</w:t>
            </w:r>
            <w:r>
              <w:rPr>
                <w:rFonts w:ascii="Times New Roman" w:hAnsi="Times New Roman" w:eastAsia="楷体_GB2312" w:cs="Times New Roman"/>
                <w:b/>
                <w:bCs/>
                <w:color w:val="000000" w:themeColor="text1"/>
                <w:sz w:val="28"/>
                <w:szCs w:val="28"/>
                <w14:textFill>
                  <w14:solidFill>
                    <w14:schemeClr w14:val="tx1"/>
                  </w14:solidFill>
                </w14:textFill>
              </w:rPr>
              <w:t>重点</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工程和</w:t>
            </w:r>
            <w:r>
              <w:rPr>
                <w:rFonts w:ascii="Times New Roman" w:hAnsi="Times New Roman" w:eastAsia="楷体_GB2312" w:cs="Times New Roman"/>
                <w:b/>
                <w:bCs/>
                <w:color w:val="000000" w:themeColor="text1"/>
                <w:sz w:val="28"/>
                <w:szCs w:val="28"/>
                <w14:textFill>
                  <w14:solidFill>
                    <w14:schemeClr w14:val="tx1"/>
                  </w14:solidFill>
                </w14:textFill>
              </w:rPr>
              <w:t>项目</w:t>
            </w:r>
          </w:p>
        </w:tc>
      </w:tr>
      <w:tr w14:paraId="0E8D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722" w:type="dxa"/>
            <w:vAlign w:val="center"/>
          </w:tcPr>
          <w:p w14:paraId="53B6DBF4">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省级园区</w:t>
            </w:r>
          </w:p>
        </w:tc>
        <w:tc>
          <w:tcPr>
            <w:tcW w:w="7078" w:type="dxa"/>
            <w:vAlign w:val="center"/>
          </w:tcPr>
          <w:p w14:paraId="4B6E8D20">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大庆路化工</w:t>
            </w:r>
            <w:r>
              <w:rPr>
                <w:rFonts w:hint="eastAsia" w:ascii="楷体" w:hAnsi="楷体" w:eastAsia="楷体" w:cs="楷体"/>
                <w:color w:val="auto"/>
                <w:kern w:val="0"/>
                <w:sz w:val="24"/>
                <w:szCs w:val="24"/>
                <w:lang w:val="en-US" w:eastAsia="zh-CN"/>
              </w:rPr>
              <w:t>产业园区项目。</w:t>
            </w:r>
          </w:p>
        </w:tc>
      </w:tr>
      <w:tr w14:paraId="1B86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1722" w:type="dxa"/>
            <w:vAlign w:val="center"/>
          </w:tcPr>
          <w:p w14:paraId="0F273045">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市级小微工业</w:t>
            </w:r>
          </w:p>
          <w:p w14:paraId="622531FA">
            <w:pPr>
              <w:jc w:val="center"/>
              <w:rPr>
                <w:rFonts w:hint="eastAsia" w:ascii="楷体" w:hAnsi="楷体" w:eastAsia="楷体" w:cs="楷体"/>
                <w:color w:val="000000" w:themeColor="text1"/>
                <w:kern w:val="0"/>
                <w:sz w:val="24"/>
                <w:szCs w:val="24"/>
                <w:lang w:val="en-US"/>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园区</w:t>
            </w:r>
          </w:p>
        </w:tc>
        <w:tc>
          <w:tcPr>
            <w:tcW w:w="7078" w:type="dxa"/>
            <w:vAlign w:val="center"/>
          </w:tcPr>
          <w:p w14:paraId="611D5354">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auto"/>
                <w:kern w:val="0"/>
                <w:sz w:val="24"/>
                <w:szCs w:val="24"/>
                <w:lang w:val="en-US" w:eastAsia="zh-CN"/>
              </w:rPr>
              <w:t>富通空调配套产业园项目、轴承</w:t>
            </w:r>
            <w:r>
              <w:rPr>
                <w:rFonts w:hint="eastAsia" w:ascii="楷体" w:hAnsi="楷体" w:eastAsia="楷体" w:cs="楷体"/>
                <w:color w:val="000000" w:themeColor="text1"/>
                <w:kern w:val="0"/>
                <w:sz w:val="24"/>
                <w:szCs w:val="24"/>
                <w:lang w:val="en-US" w:eastAsia="zh-CN"/>
                <w14:textFill>
                  <w14:solidFill>
                    <w14:schemeClr w14:val="tx1"/>
                  </w14:solidFill>
                </w14:textFill>
              </w:rPr>
              <w:t>小微工业园项目、大庆路装备制造产业园项目、金刚水泥产业园项目、新荣村小微企业工业园区项目、煤焦化产业园等项目。</w:t>
            </w:r>
          </w:p>
        </w:tc>
      </w:tr>
    </w:tbl>
    <w:p w14:paraId="7A092340">
      <w:pPr>
        <w:pStyle w:val="2"/>
        <w:ind w:left="0" w:leftChars="0" w:firstLine="0" w:firstLineChars="0"/>
        <w:rPr>
          <w:rFonts w:hint="eastAsia" w:ascii="仿宋" w:hAnsi="仿宋" w:eastAsia="仿宋" w:cs="仿宋"/>
          <w:color w:val="000000"/>
          <w:sz w:val="32"/>
          <w:szCs w:val="32"/>
          <w:lang w:val="en-US" w:eastAsia="zh-CN"/>
        </w:rPr>
      </w:pPr>
    </w:p>
    <w:p w14:paraId="04928533">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第六节  深入推进对外开放和扩大内需</w:t>
      </w:r>
    </w:p>
    <w:p w14:paraId="77976A85">
      <w:pPr>
        <w:pageBreakBefore w:val="0"/>
        <w:kinsoku/>
        <w:wordWrap/>
        <w:overflowPunct/>
        <w:topLinePunct w:val="0"/>
        <w:bidi w:val="0"/>
        <w:snapToGrid/>
        <w:spacing w:line="240" w:lineRule="auto"/>
        <w:ind w:left="0" w:leftChars="0"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深化对外合作。</w:t>
      </w:r>
      <w:r>
        <w:rPr>
          <w:rFonts w:hint="eastAsia" w:ascii="仿宋" w:hAnsi="仿宋" w:eastAsia="仿宋" w:cs="仿宋"/>
          <w:sz w:val="32"/>
          <w:szCs w:val="32"/>
          <w:lang w:val="en-US" w:eastAsia="zh-CN"/>
        </w:rPr>
        <w:t>持续扩大对外产业合作,加快形成开放式生产、贸易、服务网络。到2025年，进出口贸易总额年均递增5%，出口龙头企业达到10户。加强与俄日韩合作。</w:t>
      </w:r>
      <w:r>
        <w:rPr>
          <w:rFonts w:hint="eastAsia" w:ascii="仿宋" w:hAnsi="仿宋" w:eastAsia="仿宋" w:cs="仿宋"/>
          <w:b w:val="0"/>
          <w:bCs w:val="0"/>
          <w:color w:val="auto"/>
          <w:sz w:val="32"/>
          <w:szCs w:val="32"/>
          <w:highlight w:val="none"/>
          <w:u w:val="none" w:color="auto"/>
          <w:lang w:val="en-US" w:eastAsia="zh-CN"/>
        </w:rPr>
        <w:t>积极参与“中俄科技创新年”活动，加强与日韩交流，强化在科技、旅游、教育、康养等领域合作。</w:t>
      </w:r>
      <w:r>
        <w:rPr>
          <w:rFonts w:hint="eastAsia" w:ascii="仿宋" w:hAnsi="仿宋" w:eastAsia="仿宋" w:cs="仿宋"/>
          <w:b w:val="0"/>
          <w:bCs w:val="0"/>
          <w:color w:val="auto"/>
          <w:sz w:val="32"/>
          <w:szCs w:val="32"/>
          <w:highlight w:val="none"/>
          <w:lang w:eastAsia="zh-CN"/>
        </w:rPr>
        <w:t>主动融入自贸区绥芬河片区、绥东重点开发开放试验区建设，借助各类平台功能，</w:t>
      </w:r>
      <w:r>
        <w:rPr>
          <w:rFonts w:hint="eastAsia" w:ascii="仿宋" w:hAnsi="仿宋" w:eastAsia="仿宋" w:cs="仿宋"/>
          <w:b w:val="0"/>
          <w:bCs w:val="0"/>
          <w:color w:val="auto"/>
          <w:sz w:val="32"/>
          <w:szCs w:val="32"/>
          <w:highlight w:val="none"/>
          <w:u w:val="none" w:color="auto"/>
          <w:lang w:val="en-US" w:eastAsia="zh-CN"/>
        </w:rPr>
        <w:t>拓展</w:t>
      </w:r>
      <w:r>
        <w:rPr>
          <w:rFonts w:hint="eastAsia" w:ascii="仿宋" w:hAnsi="仿宋" w:eastAsia="仿宋" w:cs="仿宋"/>
          <w:b w:val="0"/>
          <w:bCs w:val="0"/>
          <w:color w:val="auto"/>
          <w:sz w:val="32"/>
          <w:szCs w:val="32"/>
          <w:highlight w:val="none"/>
          <w:lang w:eastAsia="zh-CN"/>
        </w:rPr>
        <w:t>一二三产</w:t>
      </w:r>
      <w:r>
        <w:rPr>
          <w:rFonts w:hint="eastAsia" w:ascii="仿宋" w:hAnsi="仿宋" w:eastAsia="仿宋" w:cs="仿宋"/>
          <w:b w:val="0"/>
          <w:bCs w:val="0"/>
          <w:color w:val="auto"/>
          <w:sz w:val="32"/>
          <w:szCs w:val="32"/>
          <w:highlight w:val="none"/>
          <w:u w:val="none" w:color="auto"/>
          <w:lang w:val="en-US" w:eastAsia="zh-CN"/>
        </w:rPr>
        <w:t>对外开放新空间。加强与发达地区合作。</w:t>
      </w:r>
      <w:r>
        <w:rPr>
          <w:rFonts w:hint="eastAsia" w:ascii="仿宋" w:hAnsi="仿宋" w:eastAsia="仿宋" w:cs="仿宋"/>
          <w:b w:val="0"/>
          <w:bCs w:val="0"/>
          <w:color w:val="auto"/>
          <w:sz w:val="32"/>
          <w:szCs w:val="32"/>
          <w:highlight w:val="none"/>
          <w:lang w:eastAsia="zh-CN"/>
        </w:rPr>
        <w:t>强化与东莞对口合作，参与“莞牡”产业园建设，承接更多产业转移落户我区。</w:t>
      </w:r>
      <w:r>
        <w:rPr>
          <w:rFonts w:hint="eastAsia" w:ascii="仿宋" w:hAnsi="仿宋" w:eastAsia="仿宋" w:cs="仿宋"/>
          <w:b w:val="0"/>
          <w:bCs w:val="0"/>
          <w:color w:val="auto"/>
          <w:sz w:val="32"/>
          <w:szCs w:val="32"/>
          <w:highlight w:val="none"/>
          <w:u w:val="none" w:color="auto"/>
          <w:lang w:val="en-US" w:eastAsia="zh-CN"/>
        </w:rPr>
        <w:t>加强与珠三角、长三角、京津冀等地区合作，紧盯世界500强，精准招商引资，在装备制造、精细化工、医药制造等方面招引项目落地。加强与市开发区合作。在联合建设省级化工园区基础上，拓展合作范围。充分利用我区丰富的创新资源，按照“一区多园”模式，与开发区共同创建国家级高新技术开发区。鼓励本区企业借助保税区政策，扩大进出口业务。</w:t>
      </w:r>
    </w:p>
    <w:p w14:paraId="49901B16">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lang w:val="en-US" w:eastAsia="zh-CN"/>
        </w:rPr>
      </w:pP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激发消费潜力。</w:t>
      </w:r>
      <w:r>
        <w:rPr>
          <w:rFonts w:hint="eastAsia" w:ascii="仿宋_GB2312" w:hAnsi="仿宋_GB2312" w:eastAsia="仿宋_GB2312" w:cs="仿宋_GB2312"/>
          <w:sz w:val="32"/>
          <w:szCs w:val="32"/>
          <w:lang w:val="en-US" w:eastAsia="zh-CN"/>
        </w:rPr>
        <w:t>发挥城区人口多，消费潜力大的优势，培育消费市场，促进消费升级。研究制定促进消费实施办法，培育夜市经济消费新热点，提升兴平路夜市、新丹溪商业街等街区品质。充分利用闲置商业空间，鼓励建设无人售货门店、24小时便利店和“深夜食堂”，做实拉长特色消费链条。利用高校集聚效应，催生周边商业发展，提升人气，拉动消费。坚持“以点带面”，利用迈克机床闲置厂房，招引战略投资者，打造集书城、影院、美食、酒吧于一体的休闲娱乐中心。依托祥和林苑、绿地凯旋城、诗苑新城等高校周边闲置商业空间，招引健身中心、培训机构、品牌服饰、茶吧饮品等商业业态。</w:t>
      </w:r>
      <w:r>
        <w:rPr>
          <w:rFonts w:ascii="Times New Roman" w:hAnsi="Times New Roman" w:eastAsia="仿宋_GB2312" w:cs="Times New Roman"/>
          <w:b w:val="0"/>
          <w:bCs w:val="0"/>
          <w:color w:val="000000" w:themeColor="text1"/>
          <w:sz w:val="32"/>
          <w:szCs w:val="32"/>
          <w14:textFill>
            <w14:solidFill>
              <w14:schemeClr w14:val="tx1"/>
            </w14:solidFill>
          </w14:textFill>
        </w:rPr>
        <w:t>拓展远程教育、高端医养、健康检测、数字文化等服务空间，鼓励建设一批线上线下融合的新消费</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业态</w:t>
      </w:r>
      <w:r>
        <w:rPr>
          <w:rFonts w:ascii="Times New Roman" w:hAnsi="Times New Roman" w:eastAsia="仿宋_GB2312" w:cs="Times New Roman"/>
          <w:b w:val="0"/>
          <w:bCs w:val="0"/>
          <w:color w:val="000000" w:themeColor="text1"/>
          <w:sz w:val="32"/>
          <w:szCs w:val="32"/>
          <w14:textFill>
            <w14:solidFill>
              <w14:schemeClr w14:val="tx1"/>
            </w14:solidFill>
          </w14:textFill>
        </w:rPr>
        <w:t>，大力发展“网红经济”“直播经济”等消费新热点</w:t>
      </w:r>
      <w:bookmarkStart w:id="5" w:name="_Hlk55379966"/>
      <w:r>
        <w:rPr>
          <w:rFonts w:hint="eastAsia" w:ascii="Times New Roman" w:hAnsi="Times New Roman" w:eastAsia="仿宋_GB2312" w:cs="Times New Roman"/>
          <w:b w:val="0"/>
          <w:bCs w:val="0"/>
          <w:color w:val="000000" w:themeColor="text1"/>
          <w:sz w:val="32"/>
          <w:szCs w:val="32"/>
          <w14:textFill>
            <w14:solidFill>
              <w14:schemeClr w14:val="tx1"/>
            </w14:solidFill>
          </w14:textFill>
        </w:rPr>
        <w:t>，积极</w:t>
      </w:r>
      <w:r>
        <w:rPr>
          <w:rFonts w:ascii="Times New Roman" w:hAnsi="Times New Roman" w:eastAsia="仿宋_GB2312" w:cs="Times New Roman"/>
          <w:b w:val="0"/>
          <w:bCs w:val="0"/>
          <w:color w:val="000000" w:themeColor="text1"/>
          <w:sz w:val="32"/>
          <w:szCs w:val="32"/>
          <w14:textFill>
            <w14:solidFill>
              <w14:schemeClr w14:val="tx1"/>
            </w14:solidFill>
          </w14:textFill>
        </w:rPr>
        <w:t>发展培训、家政、托幼等服务业</w:t>
      </w:r>
      <w:bookmarkEnd w:id="5"/>
      <w:r>
        <w:rPr>
          <w:rFonts w:ascii="Times New Roman" w:hAnsi="Times New Roman" w:eastAsia="仿宋_GB2312" w:cs="Times New Roman"/>
          <w:b w:val="0"/>
          <w:bCs w:val="0"/>
          <w:color w:val="000000" w:themeColor="text1"/>
          <w:sz w:val="32"/>
          <w:szCs w:val="32"/>
          <w14:textFill>
            <w14:solidFill>
              <w14:schemeClr w14:val="tx1"/>
            </w14:solidFill>
          </w14:textFill>
        </w:rPr>
        <w:t>。</w:t>
      </w:r>
    </w:p>
    <w:p w14:paraId="0915A07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p>
    <w:p w14:paraId="355BF32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全面深化改革创新，培育发展新动能</w:t>
      </w:r>
    </w:p>
    <w:p w14:paraId="3D8CE29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6" w:name="_Toc55593748"/>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第一节　</w:t>
      </w:r>
      <w:bookmarkEnd w:id="6"/>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深化体制机制改革</w:t>
      </w:r>
    </w:p>
    <w:p w14:paraId="1400A632">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以推进机构职能优化为重点，动态调整职能配置和机构编制，严格机构编制管理。优化政府组织结构，推进区级事权划分改革，厘清不同层级、部门、岗位之间的职责边界，建立健全责任清单。健全部门协调配合机制，深化跨领域跨部门综合执法，深化基层审批服务改革。深化事业单位改革，加快推进政事分开、事企分开、管办分离。</w:t>
      </w:r>
    </w:p>
    <w:p w14:paraId="7DCD7BE4">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7" w:name="_Toc55593750"/>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第二节　持续优化营商环境</w:t>
      </w:r>
      <w:bookmarkEnd w:id="7"/>
    </w:p>
    <w:p w14:paraId="5C4389AA">
      <w:pPr>
        <w:pageBreakBefore w:val="0"/>
        <w:kinsoku/>
        <w:wordWrap/>
        <w:overflowPunct/>
        <w:topLinePunct w:val="0"/>
        <w:bidi w:val="0"/>
        <w:snapToGrid/>
        <w:spacing w:line="240" w:lineRule="auto"/>
        <w:ind w:left="0" w:leftChars="0" w:firstLine="643" w:firstLineChars="200"/>
        <w:rPr>
          <w:rFonts w:hint="default" w:ascii="仿宋" w:hAnsi="仿宋" w:eastAsia="仿宋" w:cs="仿宋"/>
          <w:color w:val="000000"/>
          <w:sz w:val="32"/>
          <w:szCs w:val="32"/>
          <w:lang w:val="en-US" w:eastAsia="zh-CN"/>
        </w:rPr>
      </w:pPr>
      <w:bookmarkStart w:id="8" w:name="_Toc44603938"/>
      <w:bookmarkStart w:id="9" w:name="_Toc55593752"/>
      <w:bookmarkStart w:id="10" w:name="_Toc50566512"/>
      <w:r>
        <w:rPr>
          <w:rFonts w:hint="eastAsia" w:ascii="仿宋" w:hAnsi="仿宋" w:eastAsia="仿宋" w:cs="仿宋"/>
          <w:b/>
          <w:bCs/>
          <w:color w:val="000000"/>
          <w:sz w:val="32"/>
          <w:szCs w:val="32"/>
          <w:lang w:val="en-US" w:eastAsia="zh-CN"/>
        </w:rPr>
        <w:t>深入推进“放管服”改革。</w:t>
      </w:r>
      <w:r>
        <w:rPr>
          <w:rFonts w:hint="eastAsia" w:ascii="仿宋" w:hAnsi="仿宋" w:eastAsia="仿宋" w:cs="仿宋"/>
          <w:b w:val="0"/>
          <w:bCs w:val="0"/>
          <w:color w:val="000000"/>
          <w:sz w:val="32"/>
          <w:szCs w:val="32"/>
          <w:lang w:val="en-US" w:eastAsia="zh-CN"/>
        </w:rPr>
        <w:t>按照国家、省、市要求，完成</w:t>
      </w:r>
      <w:r>
        <w:rPr>
          <w:rFonts w:hint="eastAsia" w:ascii="仿宋" w:hAnsi="仿宋" w:eastAsia="仿宋" w:cs="仿宋"/>
          <w:color w:val="000000"/>
          <w:sz w:val="32"/>
          <w:szCs w:val="32"/>
          <w:lang w:val="en-US" w:eastAsia="zh-CN"/>
        </w:rPr>
        <w:t>“放管服”改革各阶段工作任务。全面贯彻落实《优化营商环境条例》，持续深化简政放权，梳理公布政府权责清单，推出一批“清单制+容缺受理+告知承诺”的许可事项，最大限度简化审批流程和缩短办理时限。</w:t>
      </w:r>
      <w:r>
        <w:rPr>
          <w:rFonts w:hint="eastAsia" w:ascii="仿宋" w:hAnsi="仿宋" w:eastAsia="仿宋" w:cs="仿宋"/>
          <w:color w:val="000000"/>
          <w:kern w:val="2"/>
          <w:sz w:val="32"/>
          <w:szCs w:val="32"/>
          <w:lang w:val="en-US" w:eastAsia="zh-CN" w:bidi="ar-SA"/>
        </w:rPr>
        <w:t>落实国家审批服务标准化要求，</w:t>
      </w:r>
      <w:r>
        <w:rPr>
          <w:rFonts w:hint="eastAsia" w:ascii="仿宋" w:hAnsi="仿宋" w:eastAsia="仿宋" w:cs="仿宋"/>
          <w:color w:val="000000"/>
          <w:sz w:val="32"/>
          <w:szCs w:val="32"/>
          <w:lang w:val="en-US" w:eastAsia="zh-CN"/>
        </w:rPr>
        <w:t>实现申请政务服务事项“四级四同”，推动政务服务标准化、规范化、便利化。</w:t>
      </w:r>
      <w:r>
        <w:rPr>
          <w:rFonts w:hint="eastAsia" w:ascii="仿宋" w:hAnsi="仿宋" w:eastAsia="仿宋" w:cs="仿宋"/>
          <w:color w:val="000000"/>
          <w:kern w:val="2"/>
          <w:sz w:val="32"/>
          <w:szCs w:val="32"/>
          <w:lang w:val="en-US" w:eastAsia="zh-CN" w:bidi="ar-SA"/>
        </w:rPr>
        <w:t>秉持“便民利企”服务理念，高标准建设区级政务服务大厅，完善镇（街道）、村（社区）综合便民服务中心，实现“一件事”清单所列事项“一网一窗一次”办理目标。提升</w:t>
      </w:r>
      <w:r>
        <w:rPr>
          <w:rFonts w:hint="eastAsia" w:ascii="仿宋" w:hAnsi="仿宋" w:eastAsia="仿宋" w:cs="仿宋"/>
          <w:color w:val="000000"/>
          <w:sz w:val="32"/>
          <w:szCs w:val="32"/>
          <w:lang w:val="en-US" w:eastAsia="zh-CN"/>
        </w:rPr>
        <w:t>“互联网+电子政务”</w:t>
      </w:r>
      <w:r>
        <w:rPr>
          <w:rFonts w:hint="eastAsia" w:ascii="仿宋" w:hAnsi="仿宋" w:eastAsia="仿宋" w:cs="仿宋"/>
          <w:color w:val="000000"/>
          <w:kern w:val="2"/>
          <w:sz w:val="32"/>
          <w:szCs w:val="32"/>
          <w:lang w:val="en-US" w:eastAsia="zh-CN" w:bidi="ar-SA"/>
        </w:rPr>
        <w:t>应用水平，</w:t>
      </w:r>
      <w:r>
        <w:rPr>
          <w:rFonts w:hint="eastAsia" w:ascii="仿宋" w:hAnsi="仿宋" w:eastAsia="仿宋" w:cs="仿宋"/>
          <w:color w:val="000000"/>
          <w:sz w:val="32"/>
          <w:szCs w:val="32"/>
          <w:lang w:val="en-US" w:eastAsia="zh-CN"/>
        </w:rPr>
        <w:t>优化“一网通办”的覆盖范围、统筹层次和执行效率，到2025年，区级政务服务事项网上可办率不低于90%，政务系统上云率达到100%，建设完善电子证照、电子印章、电子档案系统，支持各部门电子印章推广使用。全面加强事中事后监管，</w:t>
      </w:r>
      <w:r>
        <w:rPr>
          <w:rFonts w:hint="eastAsia" w:ascii="仿宋" w:hAnsi="仿宋" w:eastAsia="仿宋" w:cs="仿宋"/>
          <w:color w:val="000000"/>
          <w:kern w:val="2"/>
          <w:sz w:val="32"/>
          <w:szCs w:val="32"/>
          <w:lang w:val="en-US" w:eastAsia="zh-CN" w:bidi="ar-SA"/>
        </w:rPr>
        <w:t>探索推行“互联网+监管”、</w:t>
      </w:r>
      <w:r>
        <w:rPr>
          <w:rFonts w:hint="eastAsia" w:ascii="仿宋" w:hAnsi="仿宋" w:eastAsia="仿宋" w:cs="仿宋"/>
          <w:color w:val="000000"/>
          <w:sz w:val="32"/>
          <w:szCs w:val="32"/>
          <w:lang w:val="en-US" w:eastAsia="zh-CN"/>
        </w:rPr>
        <w:t>信用监管、重点监管、包容审慎监管等</w:t>
      </w:r>
      <w:r>
        <w:rPr>
          <w:rFonts w:hint="eastAsia" w:ascii="仿宋" w:hAnsi="仿宋" w:eastAsia="仿宋" w:cs="仿宋"/>
          <w:color w:val="000000"/>
          <w:kern w:val="2"/>
          <w:sz w:val="32"/>
          <w:szCs w:val="32"/>
          <w:lang w:val="en-US" w:eastAsia="zh-CN" w:bidi="ar-SA"/>
        </w:rPr>
        <w:t>新模式，实现“双随机一公开”监管全覆盖。</w:t>
      </w:r>
      <w:r>
        <w:rPr>
          <w:rFonts w:hint="eastAsia" w:ascii="仿宋" w:hAnsi="仿宋" w:eastAsia="仿宋" w:cs="仿宋"/>
          <w:color w:val="000000"/>
          <w:sz w:val="32"/>
          <w:szCs w:val="32"/>
          <w:lang w:val="en-US" w:eastAsia="zh-CN"/>
        </w:rPr>
        <w:t>完善招商引资和项目建设扶持政策，重点项目实行专班服务，一企（项目）一策，逐个项目制定切实可行的推进服务方案，主动为项目提供领办、代办、帮办服务，努力打造一流营商服务环境。</w:t>
      </w:r>
    </w:p>
    <w:p w14:paraId="6A4A98F5">
      <w:pPr>
        <w:pageBreakBefore w:val="0"/>
        <w:kinsoku/>
        <w:wordWrap/>
        <w:overflowPunct/>
        <w:topLinePunct w:val="0"/>
        <w:bidi w:val="0"/>
        <w:snapToGrid/>
        <w:spacing w:line="240" w:lineRule="auto"/>
        <w:ind w:left="0" w:leftChars="0" w:firstLine="643"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b/>
          <w:bCs/>
          <w:color w:val="000000"/>
          <w:sz w:val="32"/>
          <w:szCs w:val="32"/>
          <w:lang w:val="en-US" w:eastAsia="zh-CN"/>
        </w:rPr>
        <w:t>强化营商环境保障机制。</w:t>
      </w:r>
      <w:r>
        <w:rPr>
          <w:rFonts w:hint="eastAsia" w:ascii="仿宋" w:hAnsi="仿宋" w:eastAsia="仿宋" w:cs="仿宋"/>
          <w:color w:val="000000"/>
          <w:sz w:val="32"/>
          <w:szCs w:val="32"/>
          <w:lang w:val="en-US" w:eastAsia="zh-CN"/>
        </w:rPr>
        <w:t>建成营商环境多维度评估评价体系。积极开展第三方评价，健全完善“好差评”星级考评机制，强化评价引导，赋予办事企业及群众对窗口服务及后台审批评价权。</w:t>
      </w:r>
      <w:r>
        <w:rPr>
          <w:rFonts w:hint="eastAsia" w:ascii="仿宋" w:hAnsi="仿宋" w:eastAsia="仿宋" w:cs="仿宋"/>
          <w:color w:val="000000"/>
          <w:kern w:val="2"/>
          <w:sz w:val="32"/>
          <w:szCs w:val="32"/>
          <w:lang w:val="en-US" w:eastAsia="zh-CN" w:bidi="ar-SA"/>
        </w:rPr>
        <w:t>建立政企常态沟通体系。用好投资项目服务专班和首席服务员制度，“一企（项目）一策”，制定切实可行的推进服务方案，细化“领办、代办、帮办”服务清单，为投资项目提供从立项或签约到竣工投产全程“保姆式”服务。健全涉企政策发布机制。建立完善政策解读机制。推动各职能部门设置政策解读专员，定期进行涉企政策解读。建立利企政策精准推送体系，通过“点对点”发送、上门走访、举办发布会等方式，确保政策直达企业。拓展企业诉求反应渠道。定期邀请信息库中的企业家进行座谈，落实全量回访工作机制，及时了解企业困难诉求和意见建议。强化“投诉举报热线”服务，确保所有问题精准对接、有效处理。</w:t>
      </w:r>
    </w:p>
    <w:p w14:paraId="4CCEF0CB">
      <w:pPr>
        <w:pageBreakBefore w:val="0"/>
        <w:kinsoku/>
        <w:wordWrap/>
        <w:overflowPunct/>
        <w:topLinePunct w:val="0"/>
        <w:bidi w:val="0"/>
        <w:snapToGrid/>
        <w:spacing w:line="240" w:lineRule="auto"/>
        <w:ind w:left="0" w:leftChars="0" w:firstLine="643" w:firstLineChars="200"/>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lang w:val="en-US" w:eastAsia="zh-CN"/>
        </w:rPr>
        <w:t>加强社会信用体系建设。</w:t>
      </w:r>
      <w:r>
        <w:rPr>
          <w:rFonts w:ascii="Times New Roman" w:hAnsi="Times New Roman" w:eastAsia="仿宋_GB2312" w:cs="Times New Roman"/>
          <w:color w:val="000000"/>
          <w:sz w:val="32"/>
          <w:szCs w:val="32"/>
          <w:u w:val="none"/>
        </w:rPr>
        <w:t>以政务诚信领域为重点，开展“诚信</w:t>
      </w:r>
      <w:r>
        <w:rPr>
          <w:rFonts w:hint="eastAsia" w:ascii="Times New Roman" w:hAnsi="Times New Roman" w:eastAsia="仿宋_GB2312" w:cs="Times New Roman"/>
          <w:color w:val="000000"/>
          <w:sz w:val="32"/>
          <w:szCs w:val="32"/>
          <w:u w:val="none"/>
          <w:lang w:val="en-US" w:eastAsia="zh-CN"/>
        </w:rPr>
        <w:t>爱民</w:t>
      </w:r>
      <w:r>
        <w:rPr>
          <w:rFonts w:ascii="Times New Roman" w:hAnsi="Times New Roman" w:eastAsia="仿宋_GB2312" w:cs="Times New Roman"/>
          <w:color w:val="000000"/>
          <w:sz w:val="32"/>
          <w:szCs w:val="32"/>
          <w:u w:val="none"/>
        </w:rPr>
        <w:t>”建设行动。</w:t>
      </w:r>
      <w:r>
        <w:rPr>
          <w:rFonts w:hint="eastAsia" w:ascii="仿宋" w:hAnsi="仿宋" w:eastAsia="仿宋" w:cs="仿宋"/>
          <w:color w:val="000000"/>
          <w:sz w:val="32"/>
          <w:szCs w:val="32"/>
          <w:lang w:val="en-US" w:eastAsia="zh-CN"/>
        </w:rPr>
        <w:t>常态化整治政府失信行为，建立健全政府部门和公务员失信记录，有效提升政府公信力和公务员诚信履职意识。建立健全行政审批信用承诺制，以政务诚信引领社会诚信。全力推进信用信息归集共享，全方位建立个人和法人守信激励和失信惩戒联合奖惩机制，完善信用分级分类监管和信用修复办法。加强市场主体及从业者诚信教育，拓展信用报告应用领域，把企业信用状况作为申请政府项目、获得政策扶持、享受绿色通道的重要参考。坚持打好诚信社会牌，增强营商环境区域竞争力，</w:t>
      </w:r>
      <w:r>
        <w:rPr>
          <w:rFonts w:hint="eastAsia" w:ascii="仿宋" w:hAnsi="仿宋" w:eastAsia="仿宋" w:cs="仿宋"/>
          <w:b w:val="0"/>
          <w:bCs w:val="0"/>
          <w:sz w:val="32"/>
          <w:szCs w:val="32"/>
          <w:lang w:val="en-US" w:eastAsia="zh-CN"/>
        </w:rPr>
        <w:t>整体</w:t>
      </w:r>
      <w:r>
        <w:rPr>
          <w:rFonts w:hint="eastAsia" w:ascii="仿宋" w:hAnsi="仿宋" w:eastAsia="仿宋" w:cs="仿宋"/>
          <w:b w:val="0"/>
          <w:bCs w:val="0"/>
          <w:kern w:val="2"/>
          <w:sz w:val="32"/>
          <w:szCs w:val="32"/>
          <w:lang w:val="en-US" w:eastAsia="zh-CN" w:bidi="ar-SA"/>
        </w:rPr>
        <w:t>提升“诚信爱民”的正能量</w:t>
      </w:r>
      <w:r>
        <w:rPr>
          <w:rFonts w:hint="eastAsia" w:ascii="仿宋" w:hAnsi="仿宋" w:eastAsia="仿宋" w:cs="仿宋"/>
          <w:color w:val="000000"/>
          <w:sz w:val="32"/>
          <w:szCs w:val="32"/>
          <w:lang w:val="en-US" w:eastAsia="zh-CN"/>
        </w:rPr>
        <w:t>。</w:t>
      </w:r>
    </w:p>
    <w:bookmarkEnd w:id="8"/>
    <w:bookmarkEnd w:id="9"/>
    <w:bookmarkEnd w:id="10"/>
    <w:p w14:paraId="5CF221F8">
      <w:pPr>
        <w:pStyle w:val="4"/>
        <w:keepNext w:val="0"/>
        <w:keepLines w:val="0"/>
        <w:pageBreakBefore w:val="0"/>
        <w:widowControl w:val="0"/>
        <w:numPr>
          <w:ilvl w:val="0"/>
          <w:numId w:val="2"/>
        </w:numPr>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创建产教融合示范区</w:t>
      </w:r>
    </w:p>
    <w:p w14:paraId="1131A62C">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充分发挥爱民区高校、科研机构、孵化器、高新技术企业和工业企业多的优势，在新产品研发、人才队伍建设、创新创业、产品营销等方面深度开展校企合作，全力打造牡丹江市产教融合示范区。</w:t>
      </w:r>
      <w:r>
        <w:rPr>
          <w:rFonts w:hint="eastAsia" w:ascii="仿宋" w:hAnsi="仿宋" w:eastAsia="仿宋" w:cs="仿宋"/>
          <w:b/>
          <w:bCs/>
          <w:sz w:val="32"/>
          <w:szCs w:val="32"/>
          <w:lang w:val="en-US" w:eastAsia="zh-CN"/>
        </w:rPr>
        <w:t>积极推进校企合作研发新产品。</w:t>
      </w:r>
      <w:r>
        <w:rPr>
          <w:rFonts w:hint="eastAsia" w:ascii="仿宋" w:hAnsi="仿宋" w:eastAsia="仿宋" w:cs="仿宋"/>
          <w:sz w:val="32"/>
          <w:szCs w:val="32"/>
          <w:lang w:val="en-US" w:eastAsia="zh-CN"/>
        </w:rPr>
        <w:t>充分发挥驻区高校在专业设置、技术资源、科研创新等方面的优势，促进生物医药、装备制造、新材料、林纸、绿色食品等产业与高校研发平台合作，攻克技术难题，研发新产品，改造提升生产工艺，推动成果转化。重点推进医学院、牡师院、牡大、技师学院等医药、装备制造校企研发平台建设，助力工业发展。重点推进林职院、农经学院、省林副特产研究所等林下经济、特色种植、菌菇培育等校企研发平台建设，助力农业特色产业提档升级。</w:t>
      </w:r>
      <w:r>
        <w:rPr>
          <w:rFonts w:hint="eastAsia" w:ascii="仿宋" w:hAnsi="仿宋" w:eastAsia="仿宋" w:cs="仿宋"/>
          <w:b/>
          <w:bCs/>
          <w:sz w:val="32"/>
          <w:szCs w:val="32"/>
          <w:lang w:val="en-US" w:eastAsia="zh-CN"/>
        </w:rPr>
        <w:t>积极推进校企合作建设人才队伍。</w:t>
      </w:r>
      <w:r>
        <w:rPr>
          <w:rFonts w:hint="eastAsia" w:ascii="仿宋" w:hAnsi="仿宋" w:eastAsia="仿宋" w:cs="仿宋"/>
          <w:sz w:val="32"/>
          <w:szCs w:val="32"/>
          <w:lang w:val="en-US" w:eastAsia="zh-CN"/>
        </w:rPr>
        <w:t>组织高校为企业有针对性地开设专业、定制课程，培养实用型人才。组织企业为高校提供就业实训基地，促进高校人才更好的融入社会。重点推进技师学院、牡大为企业定制数控机床、石油机械课程。加快推进工具公司、林海石油、北方油田等企业实训基地建设。</w:t>
      </w:r>
      <w:r>
        <w:rPr>
          <w:rFonts w:hint="eastAsia" w:ascii="仿宋" w:hAnsi="仿宋" w:eastAsia="仿宋" w:cs="仿宋"/>
          <w:b/>
          <w:bCs/>
          <w:sz w:val="32"/>
          <w:szCs w:val="32"/>
          <w:lang w:val="en-US" w:eastAsia="zh-CN"/>
        </w:rPr>
        <w:t>积极推进校企合作共建创业平台。</w:t>
      </w:r>
      <w:r>
        <w:rPr>
          <w:rFonts w:hint="eastAsia" w:ascii="仿宋" w:hAnsi="仿宋" w:eastAsia="仿宋" w:cs="仿宋"/>
          <w:sz w:val="32"/>
          <w:szCs w:val="32"/>
          <w:lang w:val="en-US" w:eastAsia="zh-CN"/>
        </w:rPr>
        <w:t>引导企业与高校创业基地、大学生创业联盟，在网络营销、技术服务等方面广泛合作，提供创业机遇，扩大产品市场营销。</w:t>
      </w:r>
      <w:r>
        <w:rPr>
          <w:rFonts w:hint="eastAsia" w:ascii="仿宋" w:hAnsi="仿宋" w:eastAsia="仿宋" w:cs="仿宋"/>
          <w:b/>
          <w:bCs/>
          <w:sz w:val="32"/>
          <w:szCs w:val="32"/>
          <w:lang w:val="en-US" w:eastAsia="zh-CN"/>
        </w:rPr>
        <w:t>积极推进科技创新。</w:t>
      </w:r>
      <w:r>
        <w:rPr>
          <w:rFonts w:hint="eastAsia" w:ascii="仿宋" w:hAnsi="仿宋" w:eastAsia="仿宋" w:cs="仿宋"/>
          <w:sz w:val="32"/>
          <w:szCs w:val="32"/>
          <w:lang w:val="en-US" w:eastAsia="zh-CN"/>
        </w:rPr>
        <w:t>重点推动井田石油、康之源等企业建立数字化车间，支持通用石油、北方油田等企业建立研发中心。</w:t>
      </w:r>
      <w:r>
        <w:rPr>
          <w:rFonts w:hint="eastAsia" w:ascii="仿宋" w:hAnsi="仿宋" w:eastAsia="仿宋" w:cs="仿宋"/>
          <w:color w:val="000000" w:themeColor="text1"/>
          <w:sz w:val="32"/>
          <w:szCs w:val="32"/>
          <w:lang w:eastAsia="zh-CN"/>
          <w14:textFill>
            <w14:solidFill>
              <w14:schemeClr w14:val="tx1"/>
            </w14:solidFill>
          </w14:textFill>
        </w:rPr>
        <w:t>到</w:t>
      </w:r>
      <w:r>
        <w:rPr>
          <w:rFonts w:hint="eastAsia" w:ascii="仿宋" w:hAnsi="仿宋" w:eastAsia="仿宋" w:cs="仿宋"/>
          <w:color w:val="000000" w:themeColor="text1"/>
          <w:sz w:val="32"/>
          <w:szCs w:val="32"/>
          <w:lang w:val="en-US" w:eastAsia="zh-CN"/>
          <w14:textFill>
            <w14:solidFill>
              <w14:schemeClr w14:val="tx1"/>
            </w14:solidFill>
          </w14:textFill>
        </w:rPr>
        <w:t>2025年，</w:t>
      </w:r>
      <w:r>
        <w:rPr>
          <w:rFonts w:hint="eastAsia" w:ascii="仿宋" w:hAnsi="仿宋" w:eastAsia="仿宋" w:cs="仿宋"/>
          <w:color w:val="000000" w:themeColor="text1"/>
          <w:sz w:val="32"/>
          <w:szCs w:val="32"/>
          <w:lang w:eastAsia="zh-CN"/>
          <w14:textFill>
            <w14:solidFill>
              <w14:schemeClr w14:val="tx1"/>
            </w14:solidFill>
          </w14:textFill>
        </w:rPr>
        <w:t>国家级高新技术企业和科技型中小企业户数实现翻番，技术合同成交额年均增长</w:t>
      </w:r>
      <w:r>
        <w:rPr>
          <w:rFonts w:hint="eastAsia" w:ascii="仿宋" w:hAnsi="仿宋" w:eastAsia="仿宋" w:cs="仿宋"/>
          <w:color w:val="000000" w:themeColor="text1"/>
          <w:sz w:val="32"/>
          <w:szCs w:val="32"/>
          <w:lang w:val="en-US" w:eastAsia="zh-CN"/>
          <w14:textFill>
            <w14:solidFill>
              <w14:schemeClr w14:val="tx1"/>
            </w14:solidFill>
          </w14:textFill>
        </w:rPr>
        <w:t>10%以上。</w:t>
      </w:r>
    </w:p>
    <w:p w14:paraId="26D2B06C">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第四节  强化人才发展</w:t>
      </w:r>
    </w:p>
    <w:p w14:paraId="672097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ascii="仿宋" w:hAnsi="仿宋" w:eastAsia="仿宋" w:cs="仿宋"/>
          <w:sz w:val="32"/>
          <w:szCs w:val="32"/>
          <w:lang w:eastAsia="zh-CN"/>
        </w:rPr>
        <w:t>充分发挥我区“学府区”优势，认真贯彻落实国家、省、市人才政策，针对我区产业及企事业单位需求，加大培养、引进、留住、使用人才力度，发展壮大人才队伍。各类人才总量年均增长</w:t>
      </w:r>
      <w:r>
        <w:rPr>
          <w:rFonts w:hint="eastAsia" w:ascii="仿宋" w:hAnsi="仿宋" w:eastAsia="仿宋" w:cs="仿宋"/>
          <w:sz w:val="32"/>
          <w:szCs w:val="32"/>
          <w:lang w:val="en-US" w:eastAsia="zh-CN"/>
        </w:rPr>
        <w:t>5%，本科以上学历人才占比高于全市平均水平。</w:t>
      </w:r>
      <w:r>
        <w:rPr>
          <w:rFonts w:hint="eastAsia" w:ascii="仿宋" w:hAnsi="仿宋" w:eastAsia="仿宋" w:cs="仿宋"/>
          <w:b/>
          <w:bCs/>
          <w:sz w:val="32"/>
          <w:szCs w:val="32"/>
          <w:lang w:val="en-US" w:eastAsia="zh-CN"/>
        </w:rPr>
        <w:t>加大人才培养力度。</w:t>
      </w:r>
      <w:r>
        <w:rPr>
          <w:rFonts w:hint="eastAsia" w:ascii="仿宋" w:hAnsi="仿宋" w:eastAsia="仿宋" w:cs="仿宋"/>
          <w:sz w:val="32"/>
          <w:szCs w:val="32"/>
          <w:lang w:val="en-US" w:eastAsia="zh-CN"/>
        </w:rPr>
        <w:t>加强人才培训机构建设，强化与市级培训基地合作。</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鼓励和支持机关、企事业单位在职人员提高学历和专业层次。加大产业工人培训力度，开展职业技能提升三年行动计划，重点针对岗前培训、转岗培训、技能提升等领域，开展技术竞赛、岗位练兵、联合培训、定向培养，提高产业工人的综合素质。依托市级9个高技能人才培训基地、18个技能大师工作室，培养高技能领军人才，扩大技能人才培训规模。</w:t>
      </w:r>
      <w:r>
        <w:rPr>
          <w:rFonts w:hint="eastAsia" w:ascii="仿宋" w:hAnsi="仿宋" w:eastAsia="仿宋" w:cs="仿宋"/>
          <w:b w:val="0"/>
          <w:bCs w:val="0"/>
          <w:sz w:val="32"/>
          <w:szCs w:val="32"/>
          <w:lang w:val="en-US" w:eastAsia="zh-CN"/>
        </w:rPr>
        <w:t>引导企业重视培养人才，</w:t>
      </w:r>
      <w:r>
        <w:rPr>
          <w:rFonts w:hint="eastAsia" w:ascii="仿宋" w:hAnsi="仿宋" w:eastAsia="仿宋" w:cs="仿宋"/>
          <w:sz w:val="32"/>
          <w:szCs w:val="32"/>
          <w:lang w:val="en-US" w:eastAsia="zh-CN"/>
        </w:rPr>
        <w:t>建立人才梯次培养机制。</w:t>
      </w:r>
      <w:r>
        <w:rPr>
          <w:rFonts w:hint="eastAsia" w:ascii="仿宋" w:hAnsi="仿宋" w:eastAsia="仿宋" w:cs="仿宋"/>
          <w:b/>
          <w:bCs/>
          <w:sz w:val="32"/>
          <w:szCs w:val="32"/>
          <w:lang w:val="en-US" w:eastAsia="zh-CN"/>
        </w:rPr>
        <w:t>加大人才引进力度。</w:t>
      </w:r>
      <w:r>
        <w:rPr>
          <w:rFonts w:hint="eastAsia" w:ascii="仿宋" w:hAnsi="仿宋" w:eastAsia="仿宋" w:cs="仿宋"/>
          <w:sz w:val="32"/>
          <w:szCs w:val="32"/>
          <w:lang w:val="en-US" w:eastAsia="zh-CN"/>
        </w:rPr>
        <w:t>认真</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落实市引进急需紧缺高层次人才政策，通过举办城市推介、信息发布等活动，吸引大学生在爱民区就业创业，实现“本土培育”和“域外引进”双轨并进目标。建立人才需求目录，开展校企人才洽谈会，</w:t>
      </w:r>
      <w:r>
        <w:rPr>
          <w:rFonts w:hint="eastAsia" w:ascii="仿宋" w:hAnsi="仿宋" w:eastAsia="仿宋" w:cs="仿宋"/>
          <w:sz w:val="32"/>
          <w:szCs w:val="32"/>
          <w:lang w:eastAsia="zh-CN"/>
        </w:rPr>
        <w:t>实现</w:t>
      </w:r>
      <w:r>
        <w:rPr>
          <w:rFonts w:hint="eastAsia" w:ascii="仿宋" w:hAnsi="仿宋" w:eastAsia="仿宋" w:cs="仿宋"/>
          <w:sz w:val="32"/>
          <w:szCs w:val="32"/>
        </w:rPr>
        <w:t>人才供需有效对接。</w:t>
      </w:r>
      <w:r>
        <w:rPr>
          <w:rFonts w:hint="eastAsia" w:ascii="仿宋" w:hAnsi="仿宋" w:eastAsia="仿宋" w:cs="仿宋"/>
          <w:b/>
          <w:bCs/>
          <w:sz w:val="32"/>
          <w:szCs w:val="32"/>
          <w:lang w:val="en-US" w:eastAsia="zh-CN"/>
        </w:rPr>
        <w:t>用好人才，留住人才。</w:t>
      </w:r>
      <w:r>
        <w:rPr>
          <w:rFonts w:hint="eastAsia" w:ascii="仿宋" w:hAnsi="仿宋" w:eastAsia="仿宋" w:cs="仿宋"/>
          <w:sz w:val="32"/>
          <w:szCs w:val="32"/>
          <w:lang w:val="en-US" w:eastAsia="zh-CN"/>
        </w:rPr>
        <w:t>针对不同类别人才，引导企业提高待遇。兑现市特殊人才奖励政策。</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对获得省级“龙江大工匠”和“龙江技术能手”称号、市级“杰出人才贡献奖”或相当层次的高技能人才，给予表彰奖励。推进“专家人才库”建设。</w:t>
      </w:r>
      <w:r>
        <w:rPr>
          <w:rFonts w:hint="eastAsia" w:ascii="仿宋" w:hAnsi="仿宋" w:eastAsia="仿宋" w:cs="仿宋"/>
          <w:sz w:val="32"/>
          <w:szCs w:val="32"/>
          <w:lang w:eastAsia="zh-CN"/>
        </w:rPr>
        <w:t>强化乡村人才队伍建设，落实科技兴农计划，扶持农业产业发展。</w:t>
      </w:r>
    </w:p>
    <w:p w14:paraId="262687A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加快区域协同发展，塑造城乡新面貌</w:t>
      </w:r>
    </w:p>
    <w:p w14:paraId="30F80AA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第一节  优化国土空间布局</w:t>
      </w:r>
    </w:p>
    <w:p w14:paraId="70EF789B">
      <w:pPr>
        <w:pStyle w:val="5"/>
        <w:pageBreakBefore w:val="0"/>
        <w:kinsoku/>
        <w:wordWrap/>
        <w:overflowPunct/>
        <w:topLinePunct w:val="0"/>
        <w:bidi w:val="0"/>
        <w:snapToGrid/>
        <w:spacing w:after="0" w:line="240" w:lineRule="auto"/>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在优化国土空间上实现新突破，依据牡丹江市“一核一区三带协同”国土空间布局，综合考虑我区地形地貌、资源禀赋、环境容量、基础设施等因素，将爱民区打造成背靠青山、畅享秀水、风景怡人、品质高端的宜居宜游美丽城区。</w:t>
      </w:r>
    </w:p>
    <w:p w14:paraId="1D65C278">
      <w:pPr>
        <w:pStyle w:val="5"/>
        <w:pageBreakBefore w:val="0"/>
        <w:kinsoku/>
        <w:wordWrap/>
        <w:overflowPunct/>
        <w:topLinePunct w:val="0"/>
        <w:bidi w:val="0"/>
        <w:snapToGrid/>
        <w:spacing w:after="0" w:line="240" w:lineRule="auto"/>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照景城一体的建设思路，围绕桥北中轴线、环山风光带、城区重要标志点、牡三公路沿线，聘请专业机构，合理规划空间布局，科学安排项目建设。总体设想为规划建设“一路一带五点”。“一路”即点亮桥北中轴线，重点建设综合交通枢纽、牡纺苏联专家楼改造、月星环球港等5个项目。“一带”即打造近山风光带，重点建设大学城、北山公园、青龙山公园、麻花沟升级改造、城北绿道等5个项目。“五点”即改造重要标志点，重点建设西环路棚户区改造、青龙溪重建、传统工业区复兴、道路畅通等5个项目。同时做好牡三公路沿线规划布局，围绕牡三公路由南向北重点建设草莓采摘园、百果园、垂钓园、养生谷、度假山庄、会员制农场、汽车营地、滑雪场、特色民宿、林屯园艺馆、动物展览馆、主题教育公园、农业体验中心等采摘观光、休闲体验、竞技运动项目。</w:t>
      </w:r>
    </w:p>
    <w:p w14:paraId="2D5C6C7B">
      <w:pPr>
        <w:pStyle w:val="5"/>
        <w:pageBreakBefore w:val="0"/>
        <w:kinsoku/>
        <w:wordWrap/>
        <w:overflowPunct/>
        <w:topLinePunct w:val="0"/>
        <w:bidi w:val="0"/>
        <w:snapToGrid/>
        <w:spacing w:after="0" w:line="240" w:lineRule="auto"/>
        <w:ind w:left="0" w:leftChars="0" w:firstLine="640" w:firstLineChars="200"/>
        <w:rPr>
          <w:rFonts w:hint="eastAsia" w:ascii="仿宋" w:hAnsi="仿宋" w:eastAsia="仿宋" w:cs="仿宋"/>
          <w:kern w:val="2"/>
          <w:sz w:val="32"/>
          <w:szCs w:val="32"/>
          <w:lang w:val="en-US" w:eastAsia="zh-CN" w:bidi="ar-SA"/>
        </w:rPr>
      </w:pPr>
    </w:p>
    <w:p w14:paraId="79EF14AD">
      <w:pPr>
        <w:pStyle w:val="5"/>
        <w:pageBreakBefore w:val="0"/>
        <w:kinsoku/>
        <w:wordWrap/>
        <w:overflowPunct/>
        <w:topLinePunct w:val="0"/>
        <w:bidi w:val="0"/>
        <w:snapToGrid/>
        <w:spacing w:after="0" w:line="240" w:lineRule="auto"/>
        <w:ind w:left="0" w:leftChars="0" w:firstLine="640" w:firstLineChars="200"/>
        <w:rPr>
          <w:rFonts w:hint="eastAsia" w:ascii="仿宋" w:hAnsi="仿宋" w:eastAsia="仿宋" w:cs="仿宋"/>
          <w:kern w:val="2"/>
          <w:sz w:val="32"/>
          <w:szCs w:val="32"/>
          <w:lang w:val="en-US" w:eastAsia="zh-CN" w:bidi="ar-SA"/>
        </w:rPr>
      </w:pPr>
    </w:p>
    <w:tbl>
      <w:tblPr>
        <w:tblStyle w:val="14"/>
        <w:tblW w:w="8820" w:type="dxa"/>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7"/>
        <w:gridCol w:w="6033"/>
      </w:tblGrid>
      <w:tr w14:paraId="3A17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trPr>
        <w:tc>
          <w:tcPr>
            <w:tcW w:w="8820" w:type="dxa"/>
            <w:gridSpan w:val="2"/>
            <w:vAlign w:val="top"/>
          </w:tcPr>
          <w:p w14:paraId="534CFBB1">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28"/>
                <w:szCs w:val="28"/>
                <w:lang w:val="en-US" w:eastAsia="zh-CN"/>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1</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“一路一带五点”重点工程和项目</w:t>
            </w:r>
          </w:p>
        </w:tc>
      </w:tr>
      <w:tr w14:paraId="3DC3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2787" w:type="dxa"/>
            <w:vAlign w:val="center"/>
          </w:tcPr>
          <w:p w14:paraId="28A79004">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一路</w:t>
            </w:r>
          </w:p>
          <w:p w14:paraId="65371D79">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color w:val="000000" w:themeColor="text1"/>
                <w:kern w:val="0"/>
                <w:sz w:val="24"/>
                <w:szCs w:val="24"/>
                <w:lang w:val="en-US" w:eastAsia="zh-CN"/>
                <w14:textFill>
                  <w14:solidFill>
                    <w14:schemeClr w14:val="tx1"/>
                  </w14:solidFill>
                </w14:textFill>
              </w:rPr>
              <w:t>（点亮桥北中轴线）</w:t>
            </w:r>
          </w:p>
        </w:tc>
        <w:tc>
          <w:tcPr>
            <w:tcW w:w="6033" w:type="dxa"/>
            <w:vAlign w:val="center"/>
          </w:tcPr>
          <w:p w14:paraId="0E9E792F">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auto"/>
                <w:kern w:val="0"/>
                <w:sz w:val="24"/>
                <w:szCs w:val="24"/>
                <w:lang w:val="en-US" w:eastAsia="zh-CN"/>
              </w:rPr>
              <w:t>沿桥</w:t>
            </w:r>
            <w:r>
              <w:rPr>
                <w:rFonts w:hint="eastAsia" w:ascii="楷体" w:hAnsi="楷体" w:eastAsia="楷体" w:cs="楷体"/>
                <w:color w:val="000000" w:themeColor="text1"/>
                <w:kern w:val="0"/>
                <w:sz w:val="24"/>
                <w:szCs w:val="24"/>
                <w:lang w:val="en-US" w:eastAsia="zh-CN"/>
                <w14:textFill>
                  <w14:solidFill>
                    <w14:schemeClr w14:val="tx1"/>
                  </w14:solidFill>
                </w14:textFill>
              </w:rPr>
              <w:t>北中轴线（环球大道），重点建设北站公铁交通联运枢纽工程，加快推进月星置业北站广场及地下停车场项目、月星环球港城市综合体项目、牡纺苏联专家楼改造等项目。</w:t>
            </w:r>
          </w:p>
        </w:tc>
      </w:tr>
      <w:tr w14:paraId="1DC7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2787" w:type="dxa"/>
            <w:vAlign w:val="center"/>
          </w:tcPr>
          <w:p w14:paraId="338AE0E1">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一带</w:t>
            </w:r>
          </w:p>
          <w:p w14:paraId="45C0BA9E">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（打造近</w:t>
            </w:r>
            <w:r>
              <w:rPr>
                <w:rFonts w:hint="eastAsia" w:ascii="楷体" w:hAnsi="楷体" w:eastAsia="楷体" w:cs="楷体"/>
                <w:color w:val="auto"/>
                <w:kern w:val="0"/>
                <w:sz w:val="24"/>
                <w:szCs w:val="24"/>
                <w:lang w:val="en-US" w:eastAsia="zh-CN"/>
              </w:rPr>
              <w:t>山</w:t>
            </w:r>
            <w:r>
              <w:rPr>
                <w:rFonts w:hint="eastAsia" w:ascii="楷体" w:hAnsi="楷体" w:eastAsia="楷体" w:cs="楷体"/>
                <w:color w:val="000000" w:themeColor="text1"/>
                <w:kern w:val="0"/>
                <w:sz w:val="24"/>
                <w:szCs w:val="24"/>
                <w:lang w:val="en-US" w:eastAsia="zh-CN"/>
                <w14:textFill>
                  <w14:solidFill>
                    <w14:schemeClr w14:val="tx1"/>
                  </w14:solidFill>
                </w14:textFill>
              </w:rPr>
              <w:t>风光带）</w:t>
            </w:r>
          </w:p>
        </w:tc>
        <w:tc>
          <w:tcPr>
            <w:tcW w:w="6033" w:type="dxa"/>
            <w:vAlign w:val="center"/>
          </w:tcPr>
          <w:p w14:paraId="3BFD2981">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重点建设大学城、北山公园、青龙山公园、麻花沟改造、城</w:t>
            </w:r>
            <w:r>
              <w:rPr>
                <w:rFonts w:hint="eastAsia" w:ascii="楷体" w:hAnsi="楷体" w:eastAsia="楷体" w:cs="楷体"/>
                <w:color w:val="auto"/>
                <w:kern w:val="0"/>
                <w:sz w:val="24"/>
                <w:szCs w:val="24"/>
                <w:lang w:val="en-US" w:eastAsia="zh-CN"/>
              </w:rPr>
              <w:t>北</w:t>
            </w:r>
            <w:r>
              <w:rPr>
                <w:rFonts w:hint="eastAsia" w:ascii="楷体" w:hAnsi="楷体" w:eastAsia="楷体" w:cs="楷体"/>
                <w:color w:val="000000" w:themeColor="text1"/>
                <w:kern w:val="0"/>
                <w:sz w:val="24"/>
                <w:szCs w:val="24"/>
                <w:lang w:val="en-US" w:eastAsia="zh-CN"/>
                <w14:textFill>
                  <w14:solidFill>
                    <w14:schemeClr w14:val="tx1"/>
                  </w14:solidFill>
                </w14:textFill>
              </w:rPr>
              <w:t>绿道等项目。</w:t>
            </w:r>
          </w:p>
        </w:tc>
      </w:tr>
      <w:tr w14:paraId="7B1B1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2787" w:type="dxa"/>
            <w:vAlign w:val="center"/>
          </w:tcPr>
          <w:p w14:paraId="03AFA0F7">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五点</w:t>
            </w:r>
          </w:p>
          <w:p w14:paraId="5E4976CB">
            <w:pPr>
              <w:pStyle w:val="2"/>
              <w:ind w:left="0" w:leftChars="0" w:firstLine="0" w:firstLineChars="0"/>
              <w:jc w:val="both"/>
              <w:rPr>
                <w:rFonts w:hint="eastAsia" w:ascii="楷体" w:hAnsi="楷体" w:eastAsia="楷体" w:cs="楷体"/>
                <w:sz w:val="24"/>
                <w:szCs w:val="24"/>
                <w:lang w:val="en-US" w:eastAsia="zh-CN"/>
              </w:rPr>
            </w:pPr>
            <w:r>
              <w:rPr>
                <w:rFonts w:hint="eastAsia" w:ascii="楷体" w:hAnsi="楷体" w:eastAsia="楷体" w:cs="楷体"/>
                <w:color w:val="000000" w:themeColor="text1"/>
                <w:kern w:val="0"/>
                <w:sz w:val="24"/>
                <w:szCs w:val="24"/>
                <w:lang w:val="en-US" w:eastAsia="zh-CN"/>
                <w14:textFill>
                  <w14:solidFill>
                    <w14:schemeClr w14:val="tx1"/>
                  </w14:solidFill>
                </w14:textFill>
              </w:rPr>
              <w:t>（改造城区重要标志点）</w:t>
            </w:r>
          </w:p>
        </w:tc>
        <w:tc>
          <w:tcPr>
            <w:tcW w:w="6033" w:type="dxa"/>
            <w:vAlign w:val="center"/>
          </w:tcPr>
          <w:p w14:paraId="46A6097B">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重点建设西环路棚户区改造、青龙溪重建、传统工业区复兴、道路畅通等项目。</w:t>
            </w:r>
          </w:p>
        </w:tc>
      </w:tr>
    </w:tbl>
    <w:p w14:paraId="546C4895">
      <w:pPr>
        <w:pStyle w:val="5"/>
        <w:pageBreakBefore w:val="0"/>
        <w:kinsoku/>
        <w:wordWrap/>
        <w:overflowPunct/>
        <w:topLinePunct w:val="0"/>
        <w:bidi w:val="0"/>
        <w:snapToGrid/>
        <w:spacing w:after="0" w:line="240" w:lineRule="auto"/>
        <w:ind w:left="0" w:leftChars="0" w:firstLine="640" w:firstLineChars="200"/>
        <w:rPr>
          <w:rFonts w:hint="eastAsia" w:ascii="仿宋" w:hAnsi="仿宋" w:eastAsia="仿宋" w:cs="仿宋"/>
          <w:kern w:val="2"/>
          <w:sz w:val="32"/>
          <w:szCs w:val="32"/>
          <w:lang w:val="en-US" w:eastAsia="zh-CN" w:bidi="ar-SA"/>
        </w:rPr>
      </w:pPr>
    </w:p>
    <w:p w14:paraId="63D094A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第二节  打造美丽宜居城区</w:t>
      </w:r>
    </w:p>
    <w:p w14:paraId="5C5179D4">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加快城市建设，完善城市功能，大力改善人居环境，</w:t>
      </w:r>
      <w:r>
        <w:rPr>
          <w:rFonts w:hint="eastAsia" w:ascii="Times New Roman" w:hAnsi="Times New Roman" w:eastAsia="仿宋_GB2312" w:cs="Times New Roman"/>
          <w:kern w:val="2"/>
          <w:sz w:val="32"/>
          <w:szCs w:val="32"/>
          <w:lang w:val="en-US" w:eastAsia="zh-CN" w:bidi="ar-SA"/>
        </w:rPr>
        <w:t>营造整洁美观、安全文明的宜居环境，在提升城市整体形象上实现新突破。</w:t>
      </w:r>
    </w:p>
    <w:p w14:paraId="2B718486">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加强老城区基础设施改造提升。</w:t>
      </w:r>
      <w:r>
        <w:rPr>
          <w:rFonts w:hint="eastAsia" w:ascii="Times New Roman" w:hAnsi="Times New Roman" w:eastAsia="仿宋_GB2312" w:cs="Times New Roman"/>
          <w:kern w:val="2"/>
          <w:sz w:val="32"/>
          <w:szCs w:val="32"/>
          <w:lang w:val="en-US" w:eastAsia="zh-CN" w:bidi="ar-SA"/>
        </w:rPr>
        <w:t>按照全市规划和现代化中心城区建设标准，大力改善提升爱民区老城区基础设施。申请中央预算内投资、中央专项补助资金支持，吸纳社会资金，积极争取市里支持，按照老旧小区改造规划，加快推进</w:t>
      </w:r>
      <w:r>
        <w:rPr>
          <w:rFonts w:hint="eastAsia" w:ascii="仿宋" w:hAnsi="仿宋" w:eastAsia="仿宋_GB2312" w:cs="Times New Roman"/>
          <w:kern w:val="2"/>
          <w:sz w:val="32"/>
          <w:szCs w:val="32"/>
          <w:lang w:val="en-US" w:eastAsia="zh-CN" w:bidi="ar-SA"/>
        </w:rPr>
        <w:t>115</w:t>
      </w:r>
      <w:r>
        <w:rPr>
          <w:rFonts w:hint="eastAsia" w:ascii="Times New Roman" w:hAnsi="Times New Roman" w:eastAsia="仿宋_GB2312" w:cs="Times New Roman"/>
          <w:kern w:val="2"/>
          <w:sz w:val="32"/>
          <w:szCs w:val="32"/>
          <w:lang w:val="en-US" w:eastAsia="zh-CN" w:bidi="ar-SA"/>
        </w:rPr>
        <w:t>个老旧小区改造。对小区环境进行综合整治，对老旧小区供水、供热及配套设施进行改造，推进烟机厂等老旧企业家属楼并网改造。达到“住用安全、设施完善、功能齐备、出行方便、环境整洁”的目标。做好道路翻建及整修工作。力争每年列入全市“城市道路维修计划”5条以上。规划建设康安路至西七条路跨铁项目、东地明街东延2个项目，重点</w:t>
      </w:r>
      <w:r>
        <w:rPr>
          <w:rFonts w:hint="eastAsia" w:ascii="仿宋_GB2312" w:hAnsi="黑体" w:eastAsia="仿宋_GB2312" w:cs="Times New Roman"/>
          <w:b w:val="0"/>
          <w:bCs w:val="0"/>
          <w:kern w:val="0"/>
          <w:sz w:val="32"/>
          <w:szCs w:val="32"/>
          <w:lang w:val="en-US" w:eastAsia="zh-CN" w:bidi="ar-SA"/>
        </w:rPr>
        <w:t>推进海林街、祥伦街、天安路、黄花路西延、冰箱路、向阳街、通乡路</w:t>
      </w:r>
      <w:r>
        <w:rPr>
          <w:rFonts w:hint="eastAsia" w:ascii="Times New Roman" w:hAnsi="Times New Roman" w:eastAsia="仿宋_GB2312" w:cs="Times New Roman"/>
          <w:kern w:val="2"/>
          <w:sz w:val="32"/>
          <w:szCs w:val="32"/>
          <w:lang w:val="en-US" w:eastAsia="zh-CN" w:bidi="ar-SA"/>
        </w:rPr>
        <w:t>、通乡二路</w:t>
      </w:r>
      <w:r>
        <w:rPr>
          <w:rFonts w:hint="eastAsia" w:ascii="仿宋_GB2312" w:hAnsi="黑体" w:eastAsia="仿宋_GB2312" w:cs="Times New Roman"/>
          <w:b w:val="0"/>
          <w:bCs w:val="0"/>
          <w:kern w:val="0"/>
          <w:sz w:val="32"/>
          <w:szCs w:val="32"/>
          <w:lang w:val="en-US" w:eastAsia="zh-CN" w:bidi="ar-SA"/>
        </w:rPr>
        <w:t>、明月路、兴中路、富江路等12条道路翻建整修，</w:t>
      </w:r>
      <w:r>
        <w:rPr>
          <w:rFonts w:hint="eastAsia" w:ascii="Times New Roman" w:hAnsi="Times New Roman" w:eastAsia="仿宋_GB2312" w:cs="Times New Roman"/>
          <w:kern w:val="2"/>
          <w:sz w:val="32"/>
          <w:szCs w:val="32"/>
          <w:lang w:val="en-US" w:eastAsia="zh-CN" w:bidi="ar-SA"/>
        </w:rPr>
        <w:t>以及建成区内其他道路建设。借助全市</w:t>
      </w:r>
      <w:r>
        <w:rPr>
          <w:rFonts w:hint="eastAsia" w:ascii="仿宋_GB2312" w:hAnsi="黑体" w:eastAsia="仿宋_GB2312" w:cs="Times New Roman"/>
          <w:b w:val="0"/>
          <w:bCs w:val="0"/>
          <w:kern w:val="0"/>
          <w:sz w:val="32"/>
          <w:szCs w:val="32"/>
          <w:lang w:val="en-US" w:eastAsia="zh-CN" w:bidi="ar-SA"/>
        </w:rPr>
        <w:t>畅通交通环路契机，建设爱民慢行系统。继续深化</w:t>
      </w:r>
      <w:r>
        <w:rPr>
          <w:rFonts w:hint="default" w:ascii="Times New Roman" w:hAnsi="Times New Roman" w:eastAsia="仿宋_GB2312" w:cs="Times New Roman"/>
          <w:color w:val="auto"/>
          <w:sz w:val="32"/>
          <w:szCs w:val="32"/>
          <w:u w:val="none"/>
        </w:rPr>
        <w:t>落实河长工作责任</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开展河湖“清四乱”</w:t>
      </w:r>
      <w:r>
        <w:rPr>
          <w:rFonts w:hint="eastAsia" w:ascii="Times New Roman" w:hAnsi="Times New Roman" w:eastAsia="仿宋_GB2312" w:cs="Times New Roman"/>
          <w:color w:val="auto"/>
          <w:sz w:val="32"/>
          <w:szCs w:val="32"/>
          <w:u w:val="none"/>
          <w:lang w:eastAsia="zh-CN"/>
        </w:rPr>
        <w:t>工作。强化“三溪一河”改造成果，</w:t>
      </w:r>
      <w:r>
        <w:rPr>
          <w:rFonts w:hint="eastAsia" w:ascii="仿宋_GB2312" w:hAnsi="黑体" w:eastAsia="仿宋_GB2312" w:cs="Times New Roman"/>
          <w:b w:val="0"/>
          <w:bCs w:val="0"/>
          <w:kern w:val="0"/>
          <w:sz w:val="32"/>
          <w:szCs w:val="32"/>
          <w:lang w:val="en-US" w:eastAsia="zh-CN" w:bidi="ar-SA"/>
        </w:rPr>
        <w:t>打造带状公园、滨河绿色长廊，实现水体净化、生态亮化。</w:t>
      </w:r>
      <w:r>
        <w:rPr>
          <w:rFonts w:hint="eastAsia" w:ascii="Times New Roman" w:hAnsi="Times New Roman" w:eastAsia="仿宋_GB2312" w:cs="Times New Roman"/>
          <w:kern w:val="2"/>
          <w:sz w:val="32"/>
          <w:szCs w:val="32"/>
          <w:lang w:val="en-US" w:eastAsia="zh-CN" w:bidi="ar-SA"/>
        </w:rPr>
        <w:t>修建导流渠，解决北山、西山、青龙山等因局部暴雨产生的山水下泻问题。将辖区内闲置地块、停工荒置土地、裸露小地块等，规划建设为休闲绿地、街道景观、停车场、公厕，新建充电桩及智能快递柜。</w:t>
      </w:r>
    </w:p>
    <w:p w14:paraId="52B7DC01">
      <w:pPr>
        <w:pStyle w:val="5"/>
        <w:pageBreakBefore w:val="0"/>
        <w:kinsoku/>
        <w:wordWrap/>
        <w:overflowPunct/>
        <w:topLinePunct w:val="0"/>
        <w:bidi w:val="0"/>
        <w:snapToGrid/>
        <w:spacing w:after="0" w:line="240" w:lineRule="auto"/>
        <w:ind w:left="0" w:leftChars="0" w:firstLine="643" w:firstLineChars="200"/>
        <w:rPr>
          <w:rFonts w:hint="eastAsia" w:ascii="仿宋_GB2312" w:eastAsia="仿宋_GB2312"/>
          <w:color w:val="auto"/>
          <w:sz w:val="32"/>
          <w:szCs w:val="32"/>
          <w:highlight w:val="none"/>
          <w:lang w:eastAsia="zh-CN"/>
        </w:rPr>
      </w:pPr>
      <w:r>
        <w:rPr>
          <w:rFonts w:hint="eastAsia" w:ascii="Times New Roman" w:hAnsi="Times New Roman" w:eastAsia="仿宋_GB2312" w:cs="Times New Roman"/>
          <w:b/>
          <w:bCs/>
          <w:kern w:val="2"/>
          <w:sz w:val="32"/>
          <w:szCs w:val="32"/>
          <w:lang w:val="en-US" w:eastAsia="zh-CN" w:bidi="ar-SA"/>
        </w:rPr>
        <w:t>加强城市管理。</w:t>
      </w:r>
      <w:r>
        <w:rPr>
          <w:rFonts w:hint="eastAsia" w:ascii="仿宋_GB2312" w:eastAsia="仿宋_GB2312"/>
          <w:color w:val="auto"/>
          <w:sz w:val="32"/>
          <w:szCs w:val="32"/>
          <w:highlight w:val="none"/>
          <w:lang w:eastAsia="zh-CN"/>
        </w:rPr>
        <w:t>全面</w:t>
      </w:r>
      <w:r>
        <w:rPr>
          <w:rFonts w:hint="eastAsia" w:ascii="仿宋_GB2312" w:eastAsia="仿宋_GB2312"/>
          <w:color w:val="auto"/>
          <w:sz w:val="32"/>
          <w:szCs w:val="32"/>
          <w:highlight w:val="none"/>
        </w:rPr>
        <w:t>提高城市管理水平。</w:t>
      </w:r>
      <w:r>
        <w:rPr>
          <w:rFonts w:hint="eastAsia" w:ascii="仿宋_GB2312" w:eastAsia="仿宋_GB2312"/>
          <w:color w:val="auto"/>
          <w:sz w:val="32"/>
          <w:szCs w:val="32"/>
          <w:highlight w:val="none"/>
          <w:lang w:eastAsia="zh-CN"/>
        </w:rPr>
        <w:t>进一步</w:t>
      </w:r>
      <w:r>
        <w:rPr>
          <w:rFonts w:hint="eastAsia" w:ascii="仿宋_GB2312" w:eastAsia="仿宋_GB2312"/>
          <w:color w:val="auto"/>
          <w:sz w:val="32"/>
          <w:szCs w:val="32"/>
          <w:highlight w:val="none"/>
        </w:rPr>
        <w:t>加强小区物业管理。</w:t>
      </w:r>
      <w:r>
        <w:rPr>
          <w:rFonts w:hint="eastAsia" w:ascii="仿宋_GB2312" w:eastAsia="仿宋_GB2312"/>
          <w:color w:val="auto"/>
          <w:sz w:val="32"/>
          <w:szCs w:val="32"/>
          <w:highlight w:val="none"/>
          <w:lang w:val="en-US" w:eastAsia="zh-CN"/>
        </w:rPr>
        <w:t>规范物业服务行为,全面提升175个物业小区的服务质量和管理水平。非物业管理服务小区和单元楼，</w:t>
      </w:r>
      <w:r>
        <w:rPr>
          <w:rFonts w:hint="eastAsia" w:ascii="仿宋_GB2312" w:eastAsia="仿宋_GB2312"/>
          <w:color w:val="auto"/>
          <w:sz w:val="32"/>
          <w:szCs w:val="32"/>
          <w:highlight w:val="none"/>
          <w:lang w:eastAsia="zh-CN"/>
        </w:rPr>
        <w:t>通过业主委员会</w:t>
      </w:r>
      <w:r>
        <w:rPr>
          <w:rFonts w:hint="eastAsia" w:ascii="仿宋_GB2312" w:eastAsia="仿宋_GB2312"/>
          <w:color w:val="auto"/>
          <w:sz w:val="32"/>
          <w:szCs w:val="32"/>
          <w:highlight w:val="none"/>
        </w:rPr>
        <w:t>招聘物业公司</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社区物业</w:t>
      </w:r>
      <w:r>
        <w:rPr>
          <w:rFonts w:hint="eastAsia" w:ascii="仿宋_GB2312" w:eastAsia="仿宋_GB2312"/>
          <w:color w:val="auto"/>
          <w:sz w:val="32"/>
          <w:szCs w:val="32"/>
          <w:highlight w:val="none"/>
          <w:lang w:eastAsia="zh-CN"/>
        </w:rPr>
        <w:t>服务部代为</w:t>
      </w:r>
      <w:r>
        <w:rPr>
          <w:rFonts w:hint="eastAsia" w:ascii="仿宋_GB2312" w:eastAsia="仿宋_GB2312"/>
          <w:color w:val="auto"/>
          <w:sz w:val="32"/>
          <w:szCs w:val="32"/>
          <w:highlight w:val="none"/>
        </w:rPr>
        <w:t>管理</w:t>
      </w:r>
      <w:r>
        <w:rPr>
          <w:rFonts w:hint="eastAsia" w:ascii="仿宋_GB2312" w:eastAsia="仿宋_GB2312"/>
          <w:color w:val="auto"/>
          <w:sz w:val="32"/>
          <w:szCs w:val="32"/>
          <w:highlight w:val="none"/>
          <w:lang w:eastAsia="zh-CN"/>
        </w:rPr>
        <w:t>等多种方式，实现辖区内无弃管小区。</w:t>
      </w:r>
      <w:r>
        <w:rPr>
          <w:rFonts w:hint="eastAsia" w:ascii="仿宋_GB2312" w:eastAsia="仿宋_GB2312"/>
          <w:color w:val="auto"/>
          <w:sz w:val="32"/>
          <w:szCs w:val="32"/>
          <w:highlight w:val="none"/>
        </w:rPr>
        <w:t>加强市容市貌管理。加大环境卫生监管力度，</w:t>
      </w:r>
      <w:r>
        <w:rPr>
          <w:rFonts w:hint="eastAsia" w:ascii="仿宋_GB2312" w:eastAsia="仿宋_GB2312"/>
          <w:color w:val="auto"/>
          <w:sz w:val="32"/>
          <w:szCs w:val="32"/>
          <w:highlight w:val="none"/>
          <w:lang w:eastAsia="zh-CN"/>
        </w:rPr>
        <w:t>以城区环境卫生薄弱地段和各社区垃圾、污水处理为重点，加大老旧居民区和背街小巷、</w:t>
      </w:r>
      <w:r>
        <w:rPr>
          <w:rFonts w:hint="eastAsia" w:ascii="仿宋_GB2312" w:eastAsia="仿宋_GB2312"/>
          <w:color w:val="auto"/>
          <w:sz w:val="32"/>
          <w:szCs w:val="32"/>
          <w:highlight w:val="none"/>
        </w:rPr>
        <w:t>农贸市场及早晚市“脏乱差”</w:t>
      </w:r>
      <w:r>
        <w:rPr>
          <w:rFonts w:hint="eastAsia" w:ascii="仿宋_GB2312" w:eastAsia="仿宋_GB2312"/>
          <w:color w:val="auto"/>
          <w:sz w:val="32"/>
          <w:szCs w:val="32"/>
          <w:highlight w:val="none"/>
          <w:lang w:eastAsia="zh-CN"/>
        </w:rPr>
        <w:t>等专项治理，</w:t>
      </w:r>
      <w:r>
        <w:rPr>
          <w:rFonts w:hint="eastAsia" w:ascii="仿宋_GB2312" w:eastAsia="仿宋_GB2312"/>
          <w:color w:val="auto"/>
          <w:sz w:val="32"/>
          <w:szCs w:val="32"/>
          <w:highlight w:val="none"/>
        </w:rPr>
        <w:t>提升城乡洁净水平。开展主城区破旧建筑物</w:t>
      </w:r>
      <w:r>
        <w:rPr>
          <w:rFonts w:hint="eastAsia" w:ascii="仿宋_GB2312" w:eastAsia="仿宋_GB2312"/>
          <w:color w:val="auto"/>
          <w:sz w:val="32"/>
          <w:szCs w:val="32"/>
          <w:highlight w:val="none"/>
          <w:lang w:eastAsia="zh-CN"/>
        </w:rPr>
        <w:t>、建筑工地围挡等</w:t>
      </w:r>
      <w:r>
        <w:rPr>
          <w:rFonts w:hint="eastAsia" w:ascii="仿宋_GB2312" w:eastAsia="仿宋_GB2312"/>
          <w:color w:val="auto"/>
          <w:sz w:val="32"/>
          <w:szCs w:val="32"/>
          <w:highlight w:val="none"/>
        </w:rPr>
        <w:t>拆除改造工程</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加大对私搭乱建、占道经营等违法违规行为整治</w:t>
      </w:r>
      <w:r>
        <w:rPr>
          <w:rFonts w:hint="eastAsia" w:ascii="仿宋_GB2312" w:eastAsia="仿宋_GB2312"/>
          <w:color w:val="auto"/>
          <w:sz w:val="32"/>
          <w:szCs w:val="32"/>
          <w:highlight w:val="none"/>
          <w:lang w:eastAsia="zh-CN"/>
        </w:rPr>
        <w:t>，对北站、</w:t>
      </w:r>
      <w:r>
        <w:rPr>
          <w:rFonts w:hint="eastAsia" w:ascii="仿宋_GB2312" w:eastAsia="仿宋_GB2312"/>
          <w:color w:val="auto"/>
          <w:sz w:val="32"/>
          <w:szCs w:val="32"/>
          <w:highlight w:val="none"/>
          <w:lang w:val="en-US" w:eastAsia="zh-CN"/>
        </w:rPr>
        <w:t>8号棚户区、金邸公馆、北悦城二期等14个重点项目围挡进行集中整治</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城区围挡达到规范化、标准化。开展老旧企业综合整治。重点开展大庆路、地明街、兴中路等路段周边企业改造提升，达到“洁化、绿化、净化、亮化”四化要求。开展全区</w:t>
      </w:r>
      <w:r>
        <w:rPr>
          <w:rFonts w:hint="eastAsia" w:ascii="仿宋_GB2312" w:eastAsia="仿宋_GB2312"/>
          <w:color w:val="auto"/>
          <w:sz w:val="32"/>
          <w:szCs w:val="32"/>
          <w:highlight w:val="none"/>
          <w:lang w:val="en-US" w:eastAsia="zh-CN"/>
        </w:rPr>
        <w:t>74个</w:t>
      </w:r>
      <w:r>
        <w:rPr>
          <w:rFonts w:hint="eastAsia" w:ascii="仿宋_GB2312" w:eastAsia="仿宋_GB2312"/>
          <w:color w:val="auto"/>
          <w:sz w:val="32"/>
          <w:szCs w:val="32"/>
          <w:highlight w:val="none"/>
          <w:lang w:eastAsia="zh-CN"/>
        </w:rPr>
        <w:t>废品收购站整治，引导规范有序经营，做到执照经营，保持环境干净整洁。</w:t>
      </w:r>
    </w:p>
    <w:p w14:paraId="2FFF4BF7">
      <w:pPr>
        <w:pStyle w:val="5"/>
        <w:pageBreakBefore w:val="0"/>
        <w:kinsoku/>
        <w:wordWrap/>
        <w:overflowPunct/>
        <w:topLinePunct w:val="0"/>
        <w:bidi w:val="0"/>
        <w:snapToGrid/>
        <w:spacing w:after="0" w:line="240" w:lineRule="auto"/>
        <w:ind w:left="0" w:leftChars="0" w:firstLine="640" w:firstLineChars="200"/>
        <w:rPr>
          <w:rFonts w:hint="eastAsia" w:ascii="仿宋_GB2312" w:eastAsia="仿宋_GB2312"/>
          <w:color w:val="auto"/>
          <w:sz w:val="32"/>
          <w:szCs w:val="32"/>
          <w:highlight w:val="none"/>
          <w:lang w:eastAsia="zh-CN"/>
        </w:rPr>
      </w:pPr>
    </w:p>
    <w:tbl>
      <w:tblPr>
        <w:tblStyle w:val="14"/>
        <w:tblW w:w="9240" w:type="dxa"/>
        <w:tblInd w:w="-1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8040"/>
      </w:tblGrid>
      <w:tr w14:paraId="20327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trPr>
        <w:tc>
          <w:tcPr>
            <w:tcW w:w="9240" w:type="dxa"/>
            <w:gridSpan w:val="2"/>
            <w:vAlign w:val="top"/>
          </w:tcPr>
          <w:p w14:paraId="28A87AFF">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28"/>
                <w:szCs w:val="28"/>
                <w:lang w:val="en-US" w:eastAsia="zh-CN"/>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打造美丽宜居城区</w:t>
            </w:r>
          </w:p>
        </w:tc>
      </w:tr>
      <w:tr w14:paraId="2A87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00" w:type="dxa"/>
            <w:vAlign w:val="center"/>
          </w:tcPr>
          <w:p w14:paraId="544BCB6B">
            <w:pPr>
              <w:jc w:val="center"/>
              <w:rPr>
                <w:rFonts w:hint="eastAsia" w:ascii="楷体" w:hAnsi="楷体" w:eastAsia="楷体" w:cs="楷体"/>
                <w:sz w:val="24"/>
                <w:szCs w:val="24"/>
                <w:lang w:val="en-US" w:eastAsia="zh-CN"/>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8040" w:type="dxa"/>
            <w:vAlign w:val="center"/>
          </w:tcPr>
          <w:p w14:paraId="03B8F0E9">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重点</w:t>
            </w:r>
            <w:r>
              <w:rPr>
                <w:rFonts w:hint="eastAsia" w:ascii="Times New Roman" w:hAnsi="Times New Roman" w:eastAsia="楷体_GB2312" w:cs="Times New Roman"/>
                <w:b/>
                <w:bCs/>
                <w:color w:val="000000" w:themeColor="text1"/>
                <w:sz w:val="24"/>
                <w:lang w:eastAsia="zh-CN"/>
                <w14:textFill>
                  <w14:solidFill>
                    <w14:schemeClr w14:val="tx1"/>
                  </w14:solidFill>
                </w14:textFill>
              </w:rPr>
              <w:t>工程和</w:t>
            </w:r>
            <w:r>
              <w:rPr>
                <w:rFonts w:ascii="Times New Roman" w:hAnsi="Times New Roman" w:eastAsia="楷体_GB2312" w:cs="Times New Roman"/>
                <w:b/>
                <w:bCs/>
                <w:color w:val="000000" w:themeColor="text1"/>
                <w:sz w:val="24"/>
                <w14:textFill>
                  <w14:solidFill>
                    <w14:schemeClr w14:val="tx1"/>
                  </w14:solidFill>
                </w14:textFill>
              </w:rPr>
              <w:t>项目</w:t>
            </w:r>
          </w:p>
        </w:tc>
      </w:tr>
      <w:tr w14:paraId="03173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00" w:type="dxa"/>
            <w:vAlign w:val="center"/>
          </w:tcPr>
          <w:p w14:paraId="6097BF99">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老旧小区</w:t>
            </w:r>
          </w:p>
          <w:p w14:paraId="7370FD9A">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改造</w:t>
            </w:r>
          </w:p>
        </w:tc>
        <w:tc>
          <w:tcPr>
            <w:tcW w:w="8040" w:type="dxa"/>
            <w:vAlign w:val="center"/>
          </w:tcPr>
          <w:p w14:paraId="0389F896">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按照全市老旧小区改造规划，加快推进全区115户老旧小区改造项目，对老旧小区供水、供热及配套设施进行改造，小区环境得到综合整治。</w:t>
            </w:r>
          </w:p>
        </w:tc>
      </w:tr>
      <w:tr w14:paraId="42690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200" w:type="dxa"/>
            <w:vAlign w:val="center"/>
          </w:tcPr>
          <w:p w14:paraId="6AA785DA">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道路翻建</w:t>
            </w:r>
          </w:p>
          <w:p w14:paraId="6016380C">
            <w:pPr>
              <w:jc w:val="cente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整修</w:t>
            </w:r>
          </w:p>
        </w:tc>
        <w:tc>
          <w:tcPr>
            <w:tcW w:w="8040" w:type="dxa"/>
            <w:vAlign w:val="center"/>
          </w:tcPr>
          <w:p w14:paraId="633E9395">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重点推进海林街、祥伦街、天安路、黄花路西段、冰箱路、向阳街、通乡路、明月路、兴中路、富江路等12条道路翻建整修工程；规划建设康安路</w:t>
            </w:r>
            <w:r>
              <w:rPr>
                <w:rFonts w:hint="eastAsia" w:ascii="楷体" w:hAnsi="楷体" w:eastAsia="楷体" w:cs="楷体"/>
                <w:color w:val="auto"/>
                <w:kern w:val="0"/>
                <w:sz w:val="24"/>
                <w:szCs w:val="24"/>
                <w:lang w:val="en-US" w:eastAsia="zh-CN"/>
              </w:rPr>
              <w:t>跨铁、</w:t>
            </w:r>
            <w:r>
              <w:rPr>
                <w:rFonts w:hint="eastAsia" w:ascii="楷体" w:hAnsi="楷体" w:eastAsia="楷体" w:cs="楷体"/>
                <w:color w:val="000000" w:themeColor="text1"/>
                <w:kern w:val="0"/>
                <w:sz w:val="24"/>
                <w:szCs w:val="24"/>
                <w:lang w:val="en-US" w:eastAsia="zh-CN"/>
                <w14:textFill>
                  <w14:solidFill>
                    <w14:schemeClr w14:val="tx1"/>
                  </w14:solidFill>
                </w14:textFill>
              </w:rPr>
              <w:t>东地明街东延2个项目；借助全市畅通交通环路，建设爱民慢行系统。</w:t>
            </w:r>
          </w:p>
        </w:tc>
      </w:tr>
      <w:tr w14:paraId="7F670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1200" w:type="dxa"/>
            <w:vAlign w:val="center"/>
          </w:tcPr>
          <w:p w14:paraId="0118E54A">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城区美化</w:t>
            </w:r>
          </w:p>
          <w:p w14:paraId="5E0790C3">
            <w:pPr>
              <w:pStyle w:val="2"/>
              <w:ind w:left="0" w:leftChars="0" w:firstLine="0" w:firstLineChars="0"/>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绿化</w:t>
            </w:r>
          </w:p>
        </w:tc>
        <w:tc>
          <w:tcPr>
            <w:tcW w:w="8040" w:type="dxa"/>
            <w:vAlign w:val="center"/>
          </w:tcPr>
          <w:p w14:paraId="24EE8665">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themeColor="text1"/>
                <w:kern w:val="0"/>
                <w:sz w:val="24"/>
                <w:szCs w:val="24"/>
                <w:lang w:val="en-US" w:eastAsia="zh-CN"/>
                <w14:textFill>
                  <w14:solidFill>
                    <w14:schemeClr w14:val="tx1"/>
                  </w14:solidFill>
                </w14:textFill>
              </w:rPr>
              <w:t>强化“三溪一河”改造成果，修建导流渠，解决北山、西山、青龙山等因局部暴雨产生的山水下泻问题。将辖区内闲置、停工荒置土地和裸露小地块等，规划建设为休闲绿地、街道景观、停车场、公厕、新建充电桩及智能快递柜等。</w:t>
            </w:r>
          </w:p>
        </w:tc>
      </w:tr>
      <w:tr w14:paraId="1939E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4" w:hRule="atLeast"/>
        </w:trPr>
        <w:tc>
          <w:tcPr>
            <w:tcW w:w="1200" w:type="dxa"/>
            <w:vAlign w:val="center"/>
          </w:tcPr>
          <w:p w14:paraId="21EF2067">
            <w:pPr>
              <w:pStyle w:val="2"/>
              <w:ind w:left="0" w:leftChars="0" w:firstLine="0" w:firstLineChars="0"/>
              <w:jc w:val="center"/>
              <w:rPr>
                <w:rFonts w:hint="eastAsia" w:ascii="楷体" w:hAnsi="楷体" w:eastAsia="楷体" w:cs="楷体"/>
                <w:b w:val="0"/>
                <w:bCs w:val="0"/>
                <w:color w:val="auto"/>
                <w:kern w:val="0"/>
                <w:sz w:val="24"/>
                <w:szCs w:val="24"/>
                <w:lang w:val="en-US" w:eastAsia="zh-CN"/>
              </w:rPr>
            </w:pPr>
            <w:r>
              <w:rPr>
                <w:rFonts w:hint="eastAsia" w:ascii="楷体" w:hAnsi="楷体" w:eastAsia="楷体" w:cs="楷体"/>
                <w:b w:val="0"/>
                <w:bCs w:val="0"/>
                <w:color w:val="auto"/>
                <w:kern w:val="0"/>
                <w:sz w:val="24"/>
                <w:szCs w:val="24"/>
                <w:lang w:val="en-US" w:eastAsia="zh-CN"/>
              </w:rPr>
              <w:t>强化城市</w:t>
            </w:r>
          </w:p>
          <w:p w14:paraId="0EE90547">
            <w:pPr>
              <w:pStyle w:val="2"/>
              <w:ind w:left="0" w:leftChars="0" w:firstLine="0" w:firstLineChars="0"/>
              <w:jc w:val="center"/>
              <w:rPr>
                <w:rFonts w:hint="eastAsia" w:ascii="楷体" w:hAnsi="楷体" w:eastAsia="楷体" w:cs="楷体"/>
                <w:b w:val="0"/>
                <w:bCs w:val="0"/>
                <w:color w:val="auto"/>
                <w:kern w:val="0"/>
                <w:sz w:val="24"/>
                <w:szCs w:val="24"/>
                <w:lang w:val="en-US" w:eastAsia="zh-CN" w:bidi="ar-SA"/>
              </w:rPr>
            </w:pPr>
            <w:r>
              <w:rPr>
                <w:rFonts w:hint="eastAsia" w:ascii="楷体" w:hAnsi="楷体" w:eastAsia="楷体" w:cs="楷体"/>
                <w:b w:val="0"/>
                <w:bCs w:val="0"/>
                <w:color w:val="auto"/>
                <w:kern w:val="0"/>
                <w:sz w:val="24"/>
                <w:szCs w:val="24"/>
                <w:lang w:val="en-US" w:eastAsia="zh-CN"/>
              </w:rPr>
              <w:t>管理</w:t>
            </w:r>
          </w:p>
        </w:tc>
        <w:tc>
          <w:tcPr>
            <w:tcW w:w="8040" w:type="dxa"/>
            <w:vAlign w:val="center"/>
          </w:tcPr>
          <w:p w14:paraId="65393385">
            <w:pPr>
              <w:pStyle w:val="2"/>
              <w:ind w:left="0" w:leftChars="0" w:firstLine="0" w:firstLineChars="0"/>
              <w:jc w:val="left"/>
              <w:rPr>
                <w:rFonts w:hint="eastAsia" w:ascii="楷体" w:hAnsi="楷体" w:eastAsia="楷体" w:cs="楷体"/>
                <w:b w:val="0"/>
                <w:bCs w:val="0"/>
                <w:color w:val="auto"/>
                <w:kern w:val="0"/>
                <w:sz w:val="24"/>
                <w:szCs w:val="24"/>
                <w:lang w:val="en-US" w:eastAsia="zh-CN" w:bidi="ar-SA"/>
              </w:rPr>
            </w:pPr>
            <w:r>
              <w:rPr>
                <w:rFonts w:hint="eastAsia" w:ascii="楷体" w:hAnsi="楷体" w:eastAsia="楷体" w:cs="楷体"/>
                <w:b w:val="0"/>
                <w:bCs w:val="0"/>
                <w:color w:val="auto"/>
                <w:kern w:val="0"/>
                <w:sz w:val="24"/>
                <w:szCs w:val="24"/>
                <w:lang w:val="en-US" w:eastAsia="zh-CN"/>
              </w:rPr>
              <w:t>在提升城市整体形象上实现新突破。全面提升175个物业小区的服务质量和管理水平，实现辖区内无弃管小区。加强市容市貌管理，加大对老旧居民区和背街小巷、农贸市场及早晚市“脏乱差”等专项治理。加大对私搭乱建、占道经营等违法违规行为整治力度，对北站、8号棚户区、金邸公馆、北悦城二期等14个重点项目围挡进行集中整治。开展全区74个废品收购站环境整治，对大庆路、地明街、兴中路等路段周边企业改造提升，达到“洁化、绿化、净化、亮化”四化要求。</w:t>
            </w:r>
          </w:p>
        </w:tc>
      </w:tr>
    </w:tbl>
    <w:p w14:paraId="24AD402C">
      <w:pPr>
        <w:pStyle w:val="5"/>
        <w:pageBreakBefore w:val="0"/>
        <w:kinsoku/>
        <w:wordWrap/>
        <w:overflowPunct/>
        <w:topLinePunct w:val="0"/>
        <w:bidi w:val="0"/>
        <w:snapToGrid/>
        <w:spacing w:after="0" w:line="240" w:lineRule="auto"/>
        <w:ind w:left="0" w:leftChars="0" w:firstLine="640" w:firstLineChars="200"/>
        <w:rPr>
          <w:rFonts w:hint="eastAsia" w:ascii="仿宋_GB2312" w:eastAsia="仿宋_GB2312"/>
          <w:color w:val="auto"/>
          <w:sz w:val="32"/>
          <w:szCs w:val="32"/>
          <w:highlight w:val="none"/>
          <w:lang w:val="en-US" w:eastAsia="zh-CN"/>
        </w:rPr>
      </w:pPr>
    </w:p>
    <w:p w14:paraId="0C206A61">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pPr>
      <w:bookmarkStart w:id="11" w:name="_Toc55593733"/>
      <w:r>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t>第三节</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t>深入推进乡村</w:t>
      </w:r>
      <w:bookmarkEnd w:id="11"/>
      <w:r>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t>振兴</w:t>
      </w:r>
    </w:p>
    <w:p w14:paraId="5B8DCB5A">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统筹推进农村经济、政治、文化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社会、生态文明建设</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到20</w:t>
      </w:r>
      <w:r>
        <w:rPr>
          <w:rFonts w:hint="eastAsia" w:ascii="Times New Roman" w:hAnsi="Times New Roman" w:cs="Times New Roman"/>
          <w:sz w:val="32"/>
          <w:szCs w:val="32"/>
          <w:lang w:val="en-US" w:eastAsia="zh-CN"/>
        </w:rPr>
        <w:t>25</w:t>
      </w:r>
      <w:r>
        <w:rPr>
          <w:rFonts w:hint="default" w:ascii="Times New Roman" w:hAnsi="Times New Roman" w:eastAsia="仿宋_GB2312" w:cs="Times New Roman"/>
          <w:sz w:val="32"/>
          <w:szCs w:val="32"/>
        </w:rPr>
        <w:t>年，乡村振兴</w:t>
      </w:r>
      <w:r>
        <w:rPr>
          <w:rFonts w:hint="eastAsia" w:ascii="Times New Roman" w:hAnsi="Times New Roman" w:eastAsia="仿宋_GB2312" w:cs="Times New Roman"/>
          <w:sz w:val="32"/>
          <w:szCs w:val="32"/>
          <w:lang w:eastAsia="zh-CN"/>
        </w:rPr>
        <w:t>六项考核指标达到省定标准，进入城区第一梯队。</w:t>
      </w:r>
    </w:p>
    <w:p w14:paraId="24FA50A2">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default" w:ascii="Times New Roman" w:hAnsi="Times New Roman" w:eastAsia="仿宋_GB2312" w:cs="Times New Roman"/>
          <w:sz w:val="32"/>
          <w:szCs w:val="32"/>
          <w:lang w:val="en-US" w:eastAsia="zh-CN"/>
        </w:rPr>
      </w:pPr>
      <w:r>
        <w:rPr>
          <w:rFonts w:hint="eastAsia" w:ascii="仿宋" w:hAnsi="仿宋" w:eastAsia="仿宋" w:cs="仿宋"/>
          <w:b/>
          <w:bCs/>
          <w:sz w:val="32"/>
          <w:szCs w:val="32"/>
          <w:lang w:eastAsia="zh-CN"/>
        </w:rPr>
        <w:t>基层组织和人才建设。</w:t>
      </w:r>
      <w:r>
        <w:rPr>
          <w:rFonts w:hint="eastAsia" w:ascii="Times New Roman" w:hAnsi="Times New Roman" w:eastAsia="仿宋_GB2312" w:cs="Times New Roman"/>
          <w:sz w:val="32"/>
          <w:szCs w:val="32"/>
          <w:lang w:eastAsia="zh-CN"/>
        </w:rPr>
        <w:t>重点抓好人才支撑和“三农”工作队伍。</w:t>
      </w:r>
      <w:r>
        <w:rPr>
          <w:rFonts w:hint="default" w:ascii="Times New Roman" w:hAnsi="Times New Roman" w:eastAsia="仿宋_GB2312" w:cs="Times New Roman"/>
          <w:sz w:val="32"/>
          <w:szCs w:val="32"/>
        </w:rPr>
        <w:t>实施实用人才</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实用技术助力乡村振兴战略行动计划</w:t>
      </w:r>
      <w:r>
        <w:rPr>
          <w:rFonts w:hint="eastAsia" w:ascii="Times New Roman" w:hAnsi="Times New Roman" w:eastAsia="仿宋_GB2312" w:cs="Times New Roman"/>
          <w:sz w:val="32"/>
          <w:szCs w:val="32"/>
          <w:lang w:eastAsia="zh-CN"/>
        </w:rPr>
        <w:t>，按照部门需求开展</w:t>
      </w:r>
      <w:r>
        <w:rPr>
          <w:rFonts w:hint="default" w:ascii="Times New Roman" w:hAnsi="Times New Roman" w:eastAsia="仿宋_GB2312" w:cs="Times New Roman"/>
          <w:sz w:val="32"/>
          <w:szCs w:val="32"/>
        </w:rPr>
        <w:t>招录选调生工作</w:t>
      </w:r>
      <w:r>
        <w:rPr>
          <w:rFonts w:hint="eastAsia" w:ascii="Times New Roman" w:hAnsi="Times New Roman" w:eastAsia="仿宋_GB2312" w:cs="Times New Roman"/>
          <w:sz w:val="32"/>
          <w:szCs w:val="32"/>
          <w:lang w:val="en-US" w:eastAsia="zh-CN"/>
        </w:rPr>
        <w:t>，培养</w:t>
      </w:r>
      <w:r>
        <w:rPr>
          <w:rFonts w:hint="default" w:ascii="Times New Roman" w:hAnsi="Times New Roman" w:eastAsia="仿宋_GB2312" w:cs="Times New Roman"/>
          <w:sz w:val="32"/>
          <w:szCs w:val="32"/>
        </w:rPr>
        <w:t>现代青年农（林）场主和新型农业经营主体带头人</w:t>
      </w:r>
      <w:r>
        <w:rPr>
          <w:rFonts w:hint="eastAsia" w:ascii="Times New Roman" w:hAnsi="Times New Roman" w:eastAsia="仿宋_GB2312" w:cs="Times New Roman"/>
          <w:sz w:val="32"/>
          <w:szCs w:val="32"/>
          <w:lang w:val="en-US" w:eastAsia="zh-CN"/>
        </w:rPr>
        <w:t>、农业技术人员。</w:t>
      </w:r>
      <w:r>
        <w:rPr>
          <w:rFonts w:hint="default" w:ascii="Times New Roman" w:hAnsi="Times New Roman" w:eastAsia="仿宋_GB2312" w:cs="Times New Roman"/>
          <w:sz w:val="32"/>
          <w:szCs w:val="32"/>
        </w:rPr>
        <w:t>选好、用好、培训好农村党支部书记，本土大学生</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复转军人</w:t>
      </w:r>
      <w:r>
        <w:rPr>
          <w:rFonts w:hint="eastAsia" w:ascii="Times New Roman" w:hAnsi="Times New Roman" w:eastAsia="仿宋_GB2312" w:cs="Times New Roman"/>
          <w:sz w:val="32"/>
          <w:szCs w:val="32"/>
          <w:lang w:eastAsia="zh-CN"/>
        </w:rPr>
        <w:t>占比达到省市要求</w:t>
      </w:r>
      <w:r>
        <w:rPr>
          <w:rFonts w:hint="default" w:ascii="Times New Roman" w:hAnsi="Times New Roman" w:eastAsia="仿宋_GB2312" w:cs="Times New Roman"/>
          <w:sz w:val="32"/>
          <w:szCs w:val="32"/>
        </w:rPr>
        <w:t>。</w:t>
      </w:r>
    </w:p>
    <w:p w14:paraId="21D7948C">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eastAsia" w:ascii="Times New Roman" w:hAnsi="Times New Roman" w:eastAsia="仿宋_GB2312" w:cs="Times New Roman"/>
          <w:sz w:val="32"/>
          <w:szCs w:val="32"/>
          <w:lang w:val="en-US" w:eastAsia="zh-CN"/>
        </w:rPr>
      </w:pPr>
      <w:r>
        <w:rPr>
          <w:rFonts w:hint="eastAsia" w:ascii="仿宋" w:hAnsi="仿宋" w:eastAsia="仿宋" w:cs="仿宋"/>
          <w:b/>
          <w:bCs/>
          <w:sz w:val="32"/>
          <w:szCs w:val="32"/>
          <w:lang w:val="en-US" w:eastAsia="zh-CN"/>
        </w:rPr>
        <w:t>乡风文明建设。</w:t>
      </w:r>
      <w:r>
        <w:rPr>
          <w:rFonts w:hint="default" w:ascii="Times New Roman" w:hAnsi="Times New Roman" w:eastAsia="仿宋_GB2312" w:cs="Times New Roman"/>
          <w:sz w:val="32"/>
          <w:szCs w:val="32"/>
        </w:rPr>
        <w:t>开展“德礼满龙江”“传立家风家训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凝聚道德力量”等主题实践活动，推进社会公德、职业道德、家庭美德、个人品德建设，引导广大农民向上向善、孝老爱亲、重义守信、勤俭持家。扎实开展文明村、星级文明户、道德模范、身边好人、好儿女、好公婆等创建评选活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开展农村移风易俗行动，抵制封建迷信，弘扬时代新风。</w:t>
      </w:r>
    </w:p>
    <w:p w14:paraId="1C7A1224">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default" w:ascii="Times New Roman" w:hAnsi="Times New Roman" w:eastAsia="仿宋_GB2312" w:cs="Times New Roman"/>
          <w:sz w:val="32"/>
          <w:szCs w:val="32"/>
        </w:rPr>
      </w:pPr>
      <w:r>
        <w:rPr>
          <w:rFonts w:hint="eastAsia" w:ascii="仿宋" w:hAnsi="仿宋" w:eastAsia="仿宋" w:cs="仿宋"/>
          <w:b/>
          <w:bCs/>
          <w:sz w:val="32"/>
          <w:szCs w:val="32"/>
          <w:lang w:val="en-US" w:eastAsia="zh-CN"/>
        </w:rPr>
        <w:t>乡村治理。</w:t>
      </w:r>
      <w:r>
        <w:rPr>
          <w:rFonts w:hint="default" w:ascii="Times New Roman" w:hAnsi="Times New Roman" w:eastAsia="仿宋_GB2312" w:cs="Times New Roman"/>
          <w:sz w:val="32"/>
          <w:szCs w:val="32"/>
        </w:rPr>
        <w:t>加大农村普法力度，加强农村法律援助和司法救助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建立健全乡村调解、仲裁、司法保障纠纷调处机制</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推进平安乡村建设</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落实社会治安综合治理责任制，</w:t>
      </w:r>
      <w:r>
        <w:rPr>
          <w:rFonts w:hint="eastAsia" w:ascii="Times New Roman" w:hAnsi="Times New Roman" w:eastAsia="仿宋_GB2312" w:cs="Times New Roman"/>
          <w:sz w:val="32"/>
          <w:szCs w:val="32"/>
          <w:lang w:eastAsia="zh-CN"/>
        </w:rPr>
        <w:t>每村建</w:t>
      </w:r>
      <w:r>
        <w:rPr>
          <w:rFonts w:hint="eastAsia" w:ascii="Times New Roman" w:hAnsi="Times New Roman" w:eastAsia="仿宋_GB2312" w:cs="Times New Roman"/>
          <w:sz w:val="32"/>
          <w:szCs w:val="32"/>
          <w:lang w:val="en-US" w:eastAsia="zh-CN"/>
        </w:rPr>
        <w:t>1个规范化综治中心。</w:t>
      </w:r>
      <w:r>
        <w:rPr>
          <w:rFonts w:hint="default" w:ascii="Times New Roman" w:hAnsi="Times New Roman" w:eastAsia="仿宋_GB2312" w:cs="Times New Roman"/>
          <w:sz w:val="32"/>
          <w:szCs w:val="32"/>
        </w:rPr>
        <w:t>加快农村立体化、信息化社会治安防控体系建设，推进农村技防再升级，实现全区村屯出入口、重点部位、重点区域监控视频全覆盖。加强</w:t>
      </w:r>
      <w:r>
        <w:rPr>
          <w:rFonts w:hint="eastAsia" w:ascii="Times New Roman" w:hAnsi="Times New Roman" w:eastAsia="仿宋_GB2312" w:cs="Times New Roman"/>
          <w:sz w:val="32"/>
          <w:szCs w:val="32"/>
          <w:lang w:eastAsia="zh-CN"/>
        </w:rPr>
        <w:t>农</w:t>
      </w:r>
      <w:r>
        <w:rPr>
          <w:rFonts w:hint="default" w:ascii="Times New Roman" w:hAnsi="Times New Roman" w:eastAsia="仿宋_GB2312" w:cs="Times New Roman"/>
          <w:sz w:val="32"/>
          <w:szCs w:val="32"/>
        </w:rPr>
        <w:t>村安全生产监管</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防灾减灾救灾能力建设。建立健全区镇村三级宗教管理网络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持续深入</w:t>
      </w:r>
      <w:r>
        <w:rPr>
          <w:rFonts w:hint="eastAsia" w:ascii="Times New Roman" w:hAnsi="Times New Roman" w:eastAsia="仿宋_GB2312" w:cs="Times New Roman"/>
          <w:sz w:val="32"/>
          <w:szCs w:val="32"/>
        </w:rPr>
        <w:t>开展扫黑除恶专项斗争</w:t>
      </w:r>
      <w:r>
        <w:rPr>
          <w:rFonts w:hint="eastAsia" w:ascii="Times New Roman" w:hAnsi="Times New Roman" w:eastAsia="仿宋_GB2312" w:cs="Times New Roman"/>
          <w:sz w:val="32"/>
          <w:szCs w:val="32"/>
          <w:lang w:eastAsia="zh-CN"/>
        </w:rPr>
        <w:t>。</w:t>
      </w:r>
    </w:p>
    <w:p w14:paraId="294A2A06">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default" w:ascii="Times New Roman" w:hAnsi="Times New Roman" w:eastAsia="仿宋_GB2312" w:cs="Times New Roman"/>
          <w:sz w:val="32"/>
          <w:szCs w:val="32"/>
        </w:rPr>
      </w:pPr>
      <w:r>
        <w:rPr>
          <w:rFonts w:hint="eastAsia" w:ascii="仿宋" w:hAnsi="仿宋" w:eastAsia="仿宋" w:cs="仿宋"/>
          <w:b/>
          <w:bCs/>
          <w:i w:val="0"/>
          <w:strike w:val="0"/>
          <w:dstrike w:val="0"/>
          <w:sz w:val="32"/>
          <w:szCs w:val="32"/>
          <w:lang w:val="en-US" w:eastAsia="zh-CN"/>
        </w:rPr>
        <w:t>基础设施和公共服务建设。</w:t>
      </w:r>
      <w:r>
        <w:rPr>
          <w:rFonts w:hint="default" w:ascii="Times New Roman" w:hAnsi="Times New Roman" w:eastAsia="仿宋_GB2312" w:cs="Times New Roman"/>
          <w:sz w:val="32"/>
          <w:szCs w:val="32"/>
        </w:rPr>
        <w:t>高度重视农村义务教育</w:t>
      </w:r>
      <w:r>
        <w:rPr>
          <w:rFonts w:hint="eastAsia" w:ascii="Times New Roman" w:hAnsi="Times New Roman" w:eastAsia="仿宋_GB2312" w:cs="Times New Roman"/>
          <w:sz w:val="32"/>
          <w:szCs w:val="32"/>
          <w:lang w:eastAsia="zh-CN"/>
        </w:rPr>
        <w:t>，到</w:t>
      </w:r>
      <w:r>
        <w:rPr>
          <w:rFonts w:hint="eastAsia" w:ascii="Times New Roman" w:hAnsi="Times New Roman" w:eastAsia="仿宋_GB2312" w:cs="Times New Roman"/>
          <w:sz w:val="32"/>
          <w:szCs w:val="32"/>
          <w:lang w:val="en-US" w:eastAsia="zh-CN"/>
        </w:rPr>
        <w:t>2025年</w:t>
      </w:r>
      <w:r>
        <w:rPr>
          <w:rFonts w:hint="default" w:ascii="Times New Roman" w:hAnsi="Times New Roman" w:eastAsia="仿宋_GB2312" w:cs="Times New Roman"/>
          <w:sz w:val="32"/>
          <w:szCs w:val="32"/>
        </w:rPr>
        <w:t>完成</w:t>
      </w:r>
      <w:r>
        <w:rPr>
          <w:rFonts w:hint="eastAsia" w:ascii="Times New Roman" w:hAnsi="Times New Roman" w:eastAsia="仿宋_GB2312" w:cs="Times New Roman"/>
          <w:sz w:val="32"/>
          <w:szCs w:val="32"/>
          <w:lang w:val="en-US" w:eastAsia="zh-CN"/>
        </w:rPr>
        <w:t>2所</w:t>
      </w:r>
      <w:r>
        <w:rPr>
          <w:rFonts w:hint="default" w:ascii="Times New Roman" w:hAnsi="Times New Roman" w:eastAsia="仿宋_GB2312" w:cs="Times New Roman"/>
          <w:sz w:val="32"/>
          <w:szCs w:val="32"/>
        </w:rPr>
        <w:t>农村义务教育薄弱学校改造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推动实现农村基本公共卫生服务均等化，</w:t>
      </w:r>
      <w:r>
        <w:rPr>
          <w:rFonts w:hint="eastAsia" w:ascii="Times New Roman" w:hAnsi="Times New Roman" w:eastAsia="仿宋_GB2312" w:cs="Times New Roman"/>
          <w:sz w:val="32"/>
          <w:szCs w:val="32"/>
          <w:lang w:eastAsia="zh-CN"/>
        </w:rPr>
        <w:t>到</w:t>
      </w:r>
      <w:r>
        <w:rPr>
          <w:rFonts w:hint="eastAsia" w:ascii="Times New Roman" w:hAnsi="Times New Roman" w:eastAsia="仿宋_GB2312" w:cs="Times New Roman"/>
          <w:sz w:val="32"/>
          <w:szCs w:val="32"/>
          <w:lang w:val="en-US" w:eastAsia="zh-CN"/>
        </w:rPr>
        <w:t>2025年</w:t>
      </w:r>
      <w:r>
        <w:rPr>
          <w:rFonts w:hint="default" w:ascii="Times New Roman" w:hAnsi="Times New Roman" w:eastAsia="仿宋_GB2312" w:cs="Times New Roman"/>
          <w:sz w:val="32"/>
          <w:szCs w:val="32"/>
        </w:rPr>
        <w:t>镇卫生院和村卫生室</w:t>
      </w:r>
      <w:r>
        <w:rPr>
          <w:rFonts w:hint="eastAsia" w:ascii="Times New Roman" w:hAnsi="Times New Roman" w:eastAsia="仿宋_GB2312" w:cs="Times New Roman"/>
          <w:sz w:val="32"/>
          <w:szCs w:val="32"/>
          <w:lang w:eastAsia="zh-CN"/>
        </w:rPr>
        <w:t>全部达到</w:t>
      </w:r>
      <w:r>
        <w:rPr>
          <w:rFonts w:hint="default" w:ascii="Times New Roman" w:hAnsi="Times New Roman" w:eastAsia="仿宋_GB2312" w:cs="Times New Roman"/>
          <w:sz w:val="32"/>
          <w:szCs w:val="32"/>
        </w:rPr>
        <w:t>标准化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加大农村文化基础设施建设力度，</w:t>
      </w:r>
      <w:r>
        <w:rPr>
          <w:rFonts w:hint="eastAsia" w:ascii="Times New Roman" w:hAnsi="Times New Roman" w:eastAsia="仿宋_GB2312" w:cs="Times New Roman"/>
          <w:sz w:val="32"/>
          <w:szCs w:val="32"/>
          <w:lang w:val="en-US" w:eastAsia="zh-CN"/>
        </w:rPr>
        <w:t>2025年每村建成1个</w:t>
      </w:r>
      <w:r>
        <w:rPr>
          <w:rFonts w:hint="default" w:ascii="Times New Roman" w:hAnsi="Times New Roman" w:eastAsia="仿宋_GB2312" w:cs="Times New Roman"/>
          <w:sz w:val="32"/>
          <w:szCs w:val="32"/>
        </w:rPr>
        <w:t>综合性文化服务中心和</w:t>
      </w:r>
      <w:r>
        <w:rPr>
          <w:rFonts w:hint="eastAsia" w:ascii="Times New Roman" w:hAnsi="Times New Roman" w:eastAsia="仿宋_GB2312" w:cs="Times New Roman"/>
          <w:sz w:val="32"/>
          <w:szCs w:val="32"/>
          <w:lang w:val="en-US" w:eastAsia="zh-CN"/>
        </w:rPr>
        <w:t>1个</w:t>
      </w:r>
      <w:r>
        <w:rPr>
          <w:rFonts w:hint="default" w:ascii="Times New Roman" w:hAnsi="Times New Roman" w:eastAsia="仿宋_GB2312" w:cs="Times New Roman"/>
          <w:sz w:val="32"/>
          <w:szCs w:val="32"/>
        </w:rPr>
        <w:t>文化活动广场。</w:t>
      </w:r>
      <w:r>
        <w:rPr>
          <w:rFonts w:hint="eastAsia" w:ascii="Times New Roman" w:hAnsi="Times New Roman" w:eastAsia="仿宋_GB2312" w:cs="Times New Roman"/>
          <w:sz w:val="32"/>
          <w:szCs w:val="32"/>
          <w:lang w:eastAsia="zh-CN"/>
        </w:rPr>
        <w:t>落实农村</w:t>
      </w:r>
      <w:r>
        <w:rPr>
          <w:rFonts w:hint="default" w:ascii="Times New Roman" w:hAnsi="Times New Roman" w:eastAsia="仿宋_GB2312" w:cs="Times New Roman"/>
          <w:sz w:val="32"/>
          <w:szCs w:val="32"/>
        </w:rPr>
        <w:t>居民基本养老保险</w:t>
      </w:r>
      <w:r>
        <w:rPr>
          <w:rFonts w:hint="eastAsia" w:ascii="Times New Roman" w:hAnsi="Times New Roman" w:eastAsia="仿宋_GB2312" w:cs="Times New Roman"/>
          <w:sz w:val="32"/>
          <w:szCs w:val="32"/>
          <w:lang w:eastAsia="zh-CN"/>
        </w:rPr>
        <w:t>政策</w:t>
      </w:r>
      <w:r>
        <w:rPr>
          <w:rFonts w:hint="default" w:ascii="Times New Roman" w:hAnsi="Times New Roman" w:eastAsia="仿宋_GB2312" w:cs="Times New Roman"/>
          <w:sz w:val="32"/>
          <w:szCs w:val="32"/>
        </w:rPr>
        <w:t>。完善农村社会救助体系和最低生活保障制度。坚持</w:t>
      </w:r>
      <w:r>
        <w:rPr>
          <w:rFonts w:hint="eastAsia" w:ascii="Times New Roman" w:hAnsi="Times New Roman" w:eastAsia="仿宋_GB2312" w:cs="Times New Roman"/>
          <w:sz w:val="32"/>
          <w:szCs w:val="32"/>
          <w:lang w:eastAsia="zh-CN"/>
        </w:rPr>
        <w:t>“脱贫不脱管、脱贫不脱政策”，</w:t>
      </w:r>
      <w:r>
        <w:rPr>
          <w:rFonts w:hint="default" w:ascii="Times New Roman" w:hAnsi="Times New Roman" w:eastAsia="仿宋_GB2312" w:cs="Times New Roman"/>
          <w:sz w:val="32"/>
          <w:szCs w:val="32"/>
        </w:rPr>
        <w:t>确保脱贫</w:t>
      </w:r>
      <w:r>
        <w:rPr>
          <w:rFonts w:hint="eastAsia" w:ascii="Times New Roman" w:hAnsi="Times New Roman" w:eastAsia="仿宋_GB2312" w:cs="Times New Roman"/>
          <w:sz w:val="32"/>
          <w:szCs w:val="32"/>
          <w:lang w:eastAsia="zh-CN"/>
        </w:rPr>
        <w:t>人口不返贫返困</w:t>
      </w:r>
      <w:r>
        <w:rPr>
          <w:rFonts w:hint="default" w:ascii="Times New Roman" w:hAnsi="Times New Roman" w:eastAsia="仿宋_GB2312" w:cs="Times New Roman"/>
          <w:sz w:val="32"/>
          <w:szCs w:val="32"/>
        </w:rPr>
        <w:t>。</w:t>
      </w:r>
    </w:p>
    <w:p w14:paraId="7212E530">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default" w:ascii="Times New Roman" w:hAnsi="Times New Roman" w:eastAsia="仿宋_GB2312" w:cs="Times New Roman"/>
          <w:sz w:val="32"/>
          <w:szCs w:val="32"/>
        </w:rPr>
      </w:pPr>
      <w:r>
        <w:rPr>
          <w:rFonts w:hint="eastAsia" w:ascii="仿宋" w:hAnsi="仿宋" w:eastAsia="仿宋" w:cs="仿宋"/>
          <w:b/>
          <w:bCs/>
          <w:i w:val="0"/>
          <w:strike w:val="0"/>
          <w:dstrike w:val="0"/>
          <w:sz w:val="32"/>
          <w:szCs w:val="32"/>
          <w:lang w:val="en-US" w:eastAsia="zh-CN"/>
        </w:rPr>
        <w:t>乡村产业发展。</w:t>
      </w:r>
      <w:r>
        <w:rPr>
          <w:rFonts w:hint="default" w:ascii="Times New Roman" w:hAnsi="Times New Roman" w:eastAsia="仿宋_GB2312" w:cs="Times New Roman"/>
          <w:sz w:val="32"/>
          <w:szCs w:val="32"/>
        </w:rPr>
        <w:t>到202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年，全区农产品加工龙头企业不低于</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户，主要农产品加工转化率达到65%</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全区乡村旅游景点达到</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个，农家乐 30个。在粮食、经济作物、特色农产品中分别培养成熟的具有示范作用的</w:t>
      </w:r>
      <w:r>
        <w:rPr>
          <w:rFonts w:hint="eastAsia" w:ascii="Times New Roman" w:hAnsi="Times New Roman" w:eastAsia="仿宋_GB2312" w:cs="Times New Roman"/>
          <w:sz w:val="32"/>
          <w:szCs w:val="32"/>
          <w:lang w:eastAsia="zh-CN"/>
        </w:rPr>
        <w:t>家庭农场及合作社</w:t>
      </w:r>
      <w:r>
        <w:rPr>
          <w:rFonts w:hint="eastAsia" w:ascii="Times New Roman" w:hAnsi="Times New Roman" w:eastAsia="仿宋_GB2312" w:cs="Times New Roman"/>
          <w:sz w:val="32"/>
          <w:szCs w:val="32"/>
          <w:lang w:val="en-US" w:eastAsia="zh-CN"/>
        </w:rPr>
        <w:t>120个</w:t>
      </w:r>
      <w:r>
        <w:rPr>
          <w:rFonts w:hint="default" w:ascii="Times New Roman" w:hAnsi="Times New Roman" w:eastAsia="仿宋_GB2312" w:cs="Times New Roman"/>
          <w:sz w:val="32"/>
          <w:szCs w:val="32"/>
        </w:rPr>
        <w:t>。全区</w:t>
      </w:r>
      <w:r>
        <w:rPr>
          <w:rFonts w:hint="eastAsia" w:ascii="Times New Roman" w:hAnsi="Times New Roman" w:eastAsia="仿宋_GB2312" w:cs="Times New Roman"/>
          <w:sz w:val="32"/>
          <w:szCs w:val="32"/>
          <w:lang w:eastAsia="zh-CN"/>
        </w:rPr>
        <w:t>至少</w:t>
      </w:r>
      <w:r>
        <w:rPr>
          <w:rFonts w:hint="default" w:ascii="Times New Roman" w:hAnsi="Times New Roman" w:eastAsia="仿宋_GB2312" w:cs="Times New Roman"/>
          <w:sz w:val="32"/>
          <w:szCs w:val="32"/>
        </w:rPr>
        <w:t>建设</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个标准高、服务优、示范带动作用强的农村创新创业基地。以八达、丰收等村</w:t>
      </w:r>
      <w:r>
        <w:rPr>
          <w:rFonts w:hint="eastAsia" w:ascii="Times New Roman" w:hAnsi="Times New Roman" w:eastAsia="仿宋_GB2312" w:cs="Times New Roman"/>
          <w:sz w:val="32"/>
          <w:szCs w:val="32"/>
          <w:lang w:eastAsia="zh-CN"/>
        </w:rPr>
        <w:t>果</w:t>
      </w:r>
      <w:r>
        <w:rPr>
          <w:rFonts w:hint="default" w:ascii="Times New Roman" w:hAnsi="Times New Roman" w:eastAsia="仿宋_GB2312" w:cs="Times New Roman"/>
          <w:sz w:val="32"/>
          <w:szCs w:val="32"/>
        </w:rPr>
        <w:t>菜为重点，建设境内外经济合作示范</w:t>
      </w:r>
      <w:r>
        <w:rPr>
          <w:rFonts w:hint="eastAsia" w:ascii="Times New Roman" w:hAnsi="Times New Roman" w:eastAsia="仿宋_GB2312" w:cs="Times New Roman"/>
          <w:sz w:val="32"/>
          <w:szCs w:val="32"/>
          <w:lang w:eastAsia="zh-CN"/>
        </w:rPr>
        <w:t>基地</w:t>
      </w:r>
      <w:r>
        <w:rPr>
          <w:rFonts w:hint="eastAsia" w:ascii="Times New Roman" w:hAnsi="Times New Roman" w:eastAsia="仿宋_GB2312" w:cs="Times New Roman"/>
          <w:sz w:val="32"/>
          <w:szCs w:val="32"/>
          <w:lang w:val="en-US" w:eastAsia="zh-CN"/>
        </w:rPr>
        <w:t>2个</w:t>
      </w:r>
      <w:r>
        <w:rPr>
          <w:rFonts w:hint="default" w:ascii="Times New Roman" w:hAnsi="Times New Roman" w:eastAsia="仿宋_GB2312" w:cs="Times New Roman"/>
          <w:sz w:val="32"/>
          <w:szCs w:val="32"/>
        </w:rPr>
        <w:t>。</w:t>
      </w:r>
    </w:p>
    <w:p w14:paraId="183E15B0">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eastAsia" w:ascii="仿宋" w:hAnsi="仿宋" w:eastAsia="仿宋" w:cs="仿宋"/>
          <w:b/>
          <w:bCs/>
          <w:i w:val="0"/>
          <w:strike w:val="0"/>
          <w:dstrike w:val="0"/>
          <w:sz w:val="32"/>
          <w:szCs w:val="32"/>
          <w:lang w:val="en-US" w:eastAsia="zh-CN"/>
        </w:rPr>
      </w:pPr>
      <w:bookmarkStart w:id="12" w:name="_Toc55593734"/>
      <w:r>
        <w:rPr>
          <w:rFonts w:hint="eastAsia" w:ascii="Times New Roman" w:hAnsi="Times New Roman" w:eastAsia="仿宋_GB2312" w:cs="Times New Roman"/>
          <w:b/>
          <w:bCs/>
          <w:color w:val="000000" w:themeColor="text1"/>
          <w:sz w:val="32"/>
          <w:szCs w:val="32"/>
          <w14:textFill>
            <w14:solidFill>
              <w14:schemeClr w14:val="tx1"/>
            </w14:solidFill>
          </w14:textFill>
        </w:rPr>
        <w:t>深化农村改革</w:t>
      </w:r>
      <w:bookmarkEnd w:id="12"/>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zh-CN"/>
          <w14:textFill>
            <w14:solidFill>
              <w14:schemeClr w14:val="tx1"/>
            </w14:solidFill>
          </w14:textFill>
        </w:rPr>
        <w:t>巩固和完善农村基本经营制度。落实第二轮土地承包到期后再延长30年政策</w:t>
      </w:r>
      <w:r>
        <w:rPr>
          <w:rFonts w:hint="eastAsia" w:ascii="Times New Roman" w:hAnsi="Times New Roman" w:eastAsia="仿宋_GB2312" w:cs="Times New Roman"/>
          <w:color w:val="000000" w:themeColor="text1"/>
          <w:sz w:val="32"/>
          <w:szCs w:val="32"/>
          <w:lang w:val="zh-CN"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zh-CN"/>
          <w14:textFill>
            <w14:solidFill>
              <w14:schemeClr w14:val="tx1"/>
            </w14:solidFill>
          </w14:textFill>
        </w:rPr>
        <w:t>完善农村承包地“三权分置”制度</w:t>
      </w:r>
      <w:r>
        <w:rPr>
          <w:rFonts w:hint="eastAsia" w:ascii="Times New Roman" w:hAnsi="Times New Roman" w:eastAsia="仿宋_GB2312" w:cs="Times New Roman"/>
          <w:color w:val="000000" w:themeColor="text1"/>
          <w:sz w:val="32"/>
          <w:szCs w:val="32"/>
          <w:lang w:val="zh-CN"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zh-CN"/>
          <w14:textFill>
            <w14:solidFill>
              <w14:schemeClr w14:val="tx1"/>
            </w14:solidFill>
          </w14:textFill>
        </w:rPr>
        <w:t>进一步激活土地经营权，全面推开农村土地征收制度改革和农村集体经营性建设用地入市改革，加强闲散土地盘活利用，开展乡村闲置校舍、厂房、废弃地等整治。支持农民合作社向农业产业公司转变，提高龙头企业市场竞争能力</w:t>
      </w:r>
      <w:r>
        <w:rPr>
          <w:rFonts w:hint="eastAsia" w:ascii="Times New Roman" w:hAnsi="Times New Roman" w:eastAsia="仿宋_GB2312" w:cs="Times New Roman"/>
          <w:color w:val="000000" w:themeColor="text1"/>
          <w:sz w:val="32"/>
          <w:szCs w:val="32"/>
          <w:lang w:val="zh-CN"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zh-CN"/>
          <w14:textFill>
            <w14:solidFill>
              <w14:schemeClr w14:val="tx1"/>
            </w14:solidFill>
          </w14:textFill>
        </w:rPr>
        <w:t>落实财政补助形成的资产转交合作社持有和管护政策。发展壮大新型农村集体经济。</w:t>
      </w:r>
    </w:p>
    <w:p w14:paraId="097628CF">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baseline"/>
        <w:rPr>
          <w:rFonts w:hint="eastAsia" w:ascii="仿宋_GB2312" w:hAnsi="仿宋_GB2312" w:eastAsia="仿宋_GB2312" w:cs="仿宋_GB2312"/>
          <w:b w:val="0"/>
          <w:bCs/>
          <w:sz w:val="32"/>
          <w:szCs w:val="32"/>
          <w:lang w:val="en-US" w:eastAsia="zh-CN"/>
        </w:rPr>
      </w:pPr>
      <w:r>
        <w:rPr>
          <w:rFonts w:hint="eastAsia" w:ascii="仿宋" w:hAnsi="仿宋" w:eastAsia="仿宋" w:cs="仿宋"/>
          <w:b/>
          <w:bCs/>
          <w:i w:val="0"/>
          <w:strike w:val="0"/>
          <w:dstrike w:val="0"/>
          <w:sz w:val="32"/>
          <w:szCs w:val="32"/>
          <w:lang w:val="en-US" w:eastAsia="zh-CN"/>
        </w:rPr>
        <w:t>农村人居环境整治。</w:t>
      </w:r>
      <w:r>
        <w:rPr>
          <w:rFonts w:hint="eastAsia" w:ascii="仿宋_GB2312" w:hAnsi="仿宋_GB2312" w:eastAsia="仿宋_GB2312" w:cs="仿宋_GB2312"/>
          <w:b w:val="0"/>
          <w:bCs/>
          <w:sz w:val="32"/>
          <w:szCs w:val="32"/>
          <w:lang w:val="en-US" w:eastAsia="zh-CN"/>
        </w:rPr>
        <w:t>加强村庄规划编制和管理，完善建设和管护机制。深入推进农村生活垃圾治理，建立完善村收镇运市处理、村收镇运分片处理、村屯就近就地处理和城乡环卫一体化市场化运营等村庄垃圾收运处理体系，农村生活垃圾无害化治理率达到省定标准。按照省标准完成农村厕所改造任务。加快推进畜禽养殖废弃物资源化利用，2025年全区畜禽粪污综合利用率达到85%以上，规模以上、大型养殖场粪污处理设施装备配套率分别达到95%以上和100%。加快村屯污水处理设施建设和管网延伸覆盖，7个村实现生活污水与城镇管网并网收集。按照省标准加强村生活污水排放管控和分类处理。村重点河流整治和河塘沟渠清淤疏浚达到100%。推进村庄道路建设。实现行政村全部通硬化路目标，硬化率达到100%。全面完成农村“四类对象”危房改造任务。做好村庄公共空间规划设计，杜绝私搭乱建。加快提升村庄绿化美化水平，建设绿色生态村庄8个。村庄公共照明达到100%。加强村庄传统文化保护利用。</w:t>
      </w:r>
    </w:p>
    <w:p w14:paraId="7A0759CB">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13" w:name="_Toc55593766"/>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第四节　持续改善环境质量</w:t>
      </w:r>
      <w:bookmarkEnd w:id="13"/>
    </w:p>
    <w:p w14:paraId="5AEBDA46">
      <w:pPr>
        <w:pageBreakBefore w:val="0"/>
        <w:kinsoku/>
        <w:wordWrap/>
        <w:overflowPunct/>
        <w:topLinePunct w:val="0"/>
        <w:autoSpaceDE w:val="0"/>
        <w:autoSpaceDN w:val="0"/>
        <w:bidi w:val="0"/>
        <w:adjustRightInd w:val="0"/>
        <w:snapToGrid/>
        <w:spacing w:line="240" w:lineRule="auto"/>
        <w:ind w:left="0" w:leftChars="0" w:firstLine="640" w:firstLineChars="200"/>
        <w:jc w:val="both"/>
        <w:rPr>
          <w:rFonts w:hint="eastAsia" w:ascii="仿宋_GB2312" w:hAnsi="Times New Roman" w:eastAsia="仿宋_GB2312" w:cs="仿宋_GB2312"/>
          <w:kern w:val="0"/>
          <w:sz w:val="32"/>
          <w:szCs w:val="32"/>
        </w:rPr>
      </w:pPr>
      <w:r>
        <w:rPr>
          <w:rFonts w:hint="eastAsia" w:ascii="仿宋_GB2312" w:hAnsi="Times New Roman" w:eastAsia="仿宋_GB2312" w:cs="仿宋_GB2312"/>
          <w:kern w:val="0"/>
          <w:sz w:val="32"/>
          <w:szCs w:val="32"/>
          <w:lang w:eastAsia="zh-CN"/>
        </w:rPr>
        <w:t>持续改善</w:t>
      </w:r>
      <w:r>
        <w:rPr>
          <w:rFonts w:hint="eastAsia" w:ascii="仿宋_GB2312" w:hAnsi="Times New Roman" w:eastAsia="仿宋_GB2312" w:cs="仿宋_GB2312"/>
          <w:kern w:val="0"/>
          <w:sz w:val="32"/>
          <w:szCs w:val="32"/>
        </w:rPr>
        <w:t>生态环境，进一步</w:t>
      </w:r>
      <w:r>
        <w:rPr>
          <w:rFonts w:hint="eastAsia" w:ascii="仿宋_GB2312" w:hAnsi="Times New Roman" w:eastAsia="仿宋_GB2312" w:cs="仿宋_GB2312"/>
          <w:kern w:val="0"/>
          <w:sz w:val="32"/>
          <w:szCs w:val="32"/>
          <w:lang w:eastAsia="zh-CN"/>
        </w:rPr>
        <w:t>巩固</w:t>
      </w:r>
      <w:r>
        <w:rPr>
          <w:rFonts w:hint="eastAsia" w:ascii="仿宋_GB2312" w:hAnsi="Times New Roman" w:eastAsia="仿宋_GB2312" w:cs="仿宋_GB2312"/>
          <w:kern w:val="0"/>
          <w:sz w:val="32"/>
          <w:szCs w:val="32"/>
        </w:rPr>
        <w:t>提升污染防治攻坚成果。到</w:t>
      </w:r>
      <w:r>
        <w:rPr>
          <w:rFonts w:ascii="仿宋_GB2312" w:hAnsi="Times New Roman" w:eastAsia="仿宋_GB2312" w:cs="仿宋_GB2312"/>
          <w:kern w:val="0"/>
          <w:sz w:val="32"/>
          <w:szCs w:val="32"/>
        </w:rPr>
        <w:t>2025</w:t>
      </w:r>
      <w:r>
        <w:rPr>
          <w:rFonts w:hint="eastAsia" w:ascii="仿宋_GB2312" w:hAnsi="Times New Roman" w:eastAsia="仿宋_GB2312" w:cs="仿宋_GB2312"/>
          <w:kern w:val="0"/>
          <w:sz w:val="32"/>
          <w:szCs w:val="32"/>
        </w:rPr>
        <w:t>年，低碳发展和绿色生活水平明显提升</w:t>
      </w:r>
      <w:r>
        <w:rPr>
          <w:rFonts w:hint="eastAsia" w:ascii="仿宋_GB2312" w:hAnsi="Times New Roman" w:eastAsia="仿宋_GB2312" w:cs="仿宋_GB2312"/>
          <w:kern w:val="0"/>
          <w:sz w:val="32"/>
          <w:szCs w:val="32"/>
          <w:lang w:eastAsia="zh-CN"/>
        </w:rPr>
        <w:t>。</w:t>
      </w:r>
      <w:r>
        <w:rPr>
          <w:rFonts w:hint="eastAsia" w:ascii="仿宋_GB2312" w:hAnsi="Times New Roman" w:eastAsia="仿宋_GB2312" w:cs="仿宋_GB2312"/>
          <w:kern w:val="0"/>
          <w:sz w:val="32"/>
          <w:szCs w:val="32"/>
        </w:rPr>
        <w:t>空气质量稳步提升，基本消除重污染天气</w:t>
      </w:r>
      <w:r>
        <w:rPr>
          <w:rFonts w:hint="eastAsia" w:ascii="仿宋_GB2312" w:hAnsi="Times New Roman" w:eastAsia="仿宋_GB2312" w:cs="仿宋_GB2312"/>
          <w:kern w:val="0"/>
          <w:sz w:val="32"/>
          <w:szCs w:val="32"/>
          <w:lang w:eastAsia="zh-CN"/>
        </w:rPr>
        <w:t>。</w:t>
      </w:r>
      <w:r>
        <w:rPr>
          <w:rFonts w:hint="eastAsia" w:ascii="仿宋_GB2312" w:hAnsi="Times New Roman" w:eastAsia="仿宋_GB2312" w:cs="仿宋_GB2312"/>
          <w:kern w:val="0"/>
          <w:sz w:val="32"/>
          <w:szCs w:val="32"/>
        </w:rPr>
        <w:t>水环境质量持续改善，水生态建设得到加强，污染严重水体得到有效治理，基本消除建成区黑臭水体</w:t>
      </w:r>
      <w:r>
        <w:rPr>
          <w:rFonts w:hint="eastAsia" w:ascii="仿宋_GB2312" w:hAnsi="Times New Roman" w:eastAsia="仿宋_GB2312" w:cs="仿宋_GB2312"/>
          <w:kern w:val="0"/>
          <w:sz w:val="32"/>
          <w:szCs w:val="32"/>
          <w:lang w:eastAsia="zh-CN"/>
        </w:rPr>
        <w:t>。</w:t>
      </w:r>
      <w:r>
        <w:rPr>
          <w:rFonts w:hint="eastAsia" w:ascii="仿宋_GB2312" w:hAnsi="Times New Roman" w:eastAsia="仿宋_GB2312" w:cs="仿宋_GB2312"/>
          <w:kern w:val="0"/>
          <w:sz w:val="32"/>
          <w:szCs w:val="32"/>
        </w:rPr>
        <w:t>土壤环境质量总体保持稳定，土壤安全利用水平持续提升</w:t>
      </w:r>
      <w:r>
        <w:rPr>
          <w:rFonts w:hint="eastAsia" w:ascii="仿宋_GB2312" w:hAnsi="Times New Roman" w:eastAsia="仿宋_GB2312" w:cs="仿宋_GB2312"/>
          <w:kern w:val="0"/>
          <w:sz w:val="32"/>
          <w:szCs w:val="32"/>
          <w:lang w:eastAsia="zh-CN"/>
        </w:rPr>
        <w:t>。</w:t>
      </w:r>
      <w:r>
        <w:rPr>
          <w:rFonts w:hint="eastAsia" w:ascii="仿宋_GB2312" w:hAnsi="Times New Roman" w:eastAsia="仿宋_GB2312" w:cs="仿宋_GB2312"/>
          <w:kern w:val="0"/>
          <w:sz w:val="32"/>
          <w:szCs w:val="32"/>
        </w:rPr>
        <w:t>农业面源污染监管体系初步建成，农村生态环境基础设施建设加快推进，农村生态环境得到进一步改善。</w:t>
      </w:r>
    </w:p>
    <w:p w14:paraId="39100F58">
      <w:pPr>
        <w:pageBreakBefore w:val="0"/>
        <w:kinsoku/>
        <w:wordWrap/>
        <w:overflowPunct/>
        <w:topLinePunct w:val="0"/>
        <w:bidi w:val="0"/>
        <w:snapToGrid/>
        <w:spacing w:line="240" w:lineRule="auto"/>
        <w:ind w:left="0" w:leftChars="0" w:firstLine="643" w:firstLineChars="200"/>
        <w:rPr>
          <w:rFonts w:hint="eastAsia" w:ascii="Times New Roman" w:hAnsi="Times New Roman" w:eastAsia="仿宋_GB2312"/>
          <w:color w:val="000000"/>
          <w:sz w:val="32"/>
          <w:shd w:val="clear" w:color="auto" w:fill="FFFFFF"/>
        </w:rPr>
      </w:pPr>
      <w:r>
        <w:rPr>
          <w:rFonts w:hint="eastAsia" w:ascii="Times New Roman" w:hAnsi="Times New Roman" w:eastAsia="仿宋_GB2312"/>
          <w:b/>
          <w:bCs/>
          <w:color w:val="000000"/>
          <w:sz w:val="32"/>
          <w:shd w:val="clear" w:color="auto" w:fill="FFFFFF"/>
        </w:rPr>
        <w:t>加强大气污染治理。</w:t>
      </w:r>
      <w:r>
        <w:rPr>
          <w:rFonts w:hint="eastAsia" w:ascii="Times New Roman" w:hAnsi="Times New Roman" w:eastAsia="仿宋_GB2312"/>
          <w:color w:val="000000"/>
          <w:sz w:val="32"/>
          <w:shd w:val="clear" w:color="auto" w:fill="FFFFFF"/>
        </w:rPr>
        <w:t>推进</w:t>
      </w:r>
      <w:r>
        <w:rPr>
          <w:rFonts w:ascii="Times New Roman" w:hAnsi="Times New Roman" w:eastAsia="仿宋_GB2312"/>
          <w:color w:val="000000"/>
          <w:sz w:val="32"/>
          <w:shd w:val="clear" w:color="auto" w:fill="FFFFFF"/>
        </w:rPr>
        <w:t>“</w:t>
      </w:r>
      <w:r>
        <w:rPr>
          <w:rFonts w:hint="eastAsia" w:ascii="Times New Roman" w:hAnsi="Times New Roman" w:eastAsia="仿宋_GB2312"/>
          <w:color w:val="000000"/>
          <w:sz w:val="32"/>
          <w:shd w:val="clear" w:color="auto" w:fill="FFFFFF"/>
        </w:rPr>
        <w:t>散乱污</w:t>
      </w:r>
      <w:r>
        <w:rPr>
          <w:rFonts w:ascii="Times New Roman" w:hAnsi="Times New Roman" w:eastAsia="仿宋_GB2312"/>
          <w:color w:val="000000"/>
          <w:sz w:val="32"/>
          <w:shd w:val="clear" w:color="auto" w:fill="FFFFFF"/>
        </w:rPr>
        <w:t>”</w:t>
      </w:r>
      <w:r>
        <w:rPr>
          <w:rFonts w:hint="eastAsia" w:ascii="Times New Roman" w:hAnsi="Times New Roman" w:eastAsia="仿宋_GB2312"/>
          <w:color w:val="000000"/>
          <w:sz w:val="32"/>
          <w:shd w:val="clear" w:color="auto" w:fill="FFFFFF"/>
        </w:rPr>
        <w:t>工业企业综合整治，加强水泥、化工、有色金属冶炼等重点行业清洁生产审核，加快化工、造纸等重点行业脱硫、脱硝、除尘改造</w:t>
      </w:r>
      <w:r>
        <w:rPr>
          <w:rFonts w:hint="eastAsia" w:ascii="Times New Roman" w:hAnsi="Times New Roman" w:eastAsia="仿宋_GB2312"/>
          <w:color w:val="000000"/>
          <w:sz w:val="32"/>
          <w:shd w:val="clear" w:color="auto" w:fill="FFFFFF"/>
          <w:lang w:eastAsia="zh-CN"/>
        </w:rPr>
        <w:t>。</w:t>
      </w:r>
      <w:r>
        <w:rPr>
          <w:rFonts w:hint="eastAsia" w:ascii="Times New Roman" w:hAnsi="Times New Roman" w:eastAsia="仿宋_GB2312"/>
          <w:color w:val="000000"/>
          <w:sz w:val="32"/>
          <w:shd w:val="clear" w:color="auto" w:fill="FFFFFF"/>
        </w:rPr>
        <w:t>开展散煤污染治理专项行动</w:t>
      </w:r>
      <w:r>
        <w:rPr>
          <w:rFonts w:hint="eastAsia" w:ascii="Times New Roman" w:hAnsi="Times New Roman" w:eastAsia="仿宋_GB2312"/>
          <w:color w:val="000000"/>
          <w:sz w:val="32"/>
          <w:shd w:val="clear" w:color="auto" w:fill="FFFFFF"/>
          <w:lang w:eastAsia="zh-CN"/>
        </w:rPr>
        <w:t>，</w:t>
      </w:r>
      <w:r>
        <w:rPr>
          <w:rFonts w:hint="eastAsia" w:ascii="Times New Roman" w:hAnsi="Times New Roman" w:eastAsia="仿宋_GB2312"/>
          <w:color w:val="000000"/>
          <w:sz w:val="32"/>
          <w:shd w:val="clear" w:color="auto" w:fill="FFFFFF"/>
        </w:rPr>
        <w:t>淘汰</w:t>
      </w:r>
      <w:r>
        <w:rPr>
          <w:rFonts w:hint="eastAsia" w:ascii="Times New Roman" w:hAnsi="Times New Roman" w:eastAsia="仿宋_GB2312"/>
          <w:color w:val="000000"/>
          <w:sz w:val="32"/>
          <w:shd w:val="clear" w:color="auto" w:fill="FFFFFF"/>
          <w:lang w:eastAsia="zh-CN"/>
        </w:rPr>
        <w:t>建成区</w:t>
      </w:r>
      <w:r>
        <w:rPr>
          <w:rFonts w:hint="eastAsia" w:ascii="Times New Roman" w:hAnsi="Times New Roman" w:eastAsia="仿宋_GB2312"/>
          <w:color w:val="000000"/>
          <w:sz w:val="32"/>
          <w:shd w:val="clear" w:color="auto" w:fill="FFFFFF"/>
          <w:lang w:val="en-US" w:eastAsia="zh-CN"/>
        </w:rPr>
        <w:t>10-35蒸吨/小时燃煤锅炉</w:t>
      </w:r>
      <w:r>
        <w:rPr>
          <w:rFonts w:hint="eastAsia" w:ascii="Times New Roman" w:hAnsi="Times New Roman" w:eastAsia="仿宋_GB2312"/>
          <w:color w:val="000000"/>
          <w:sz w:val="32"/>
          <w:shd w:val="clear" w:color="auto" w:fill="FFFFFF"/>
        </w:rPr>
        <w:t>。深化工业污染治理，持续推进工业污染源全面达标排放，加大超标处罚和联合惩戒力度。加强秸秆禁烧管控。</w:t>
      </w:r>
    </w:p>
    <w:p w14:paraId="750D970E">
      <w:pPr>
        <w:pageBreakBefore w:val="0"/>
        <w:kinsoku/>
        <w:wordWrap/>
        <w:overflowPunct/>
        <w:topLinePunct w:val="0"/>
        <w:bidi w:val="0"/>
        <w:snapToGrid/>
        <w:spacing w:line="240" w:lineRule="auto"/>
        <w:ind w:left="0" w:leftChars="0" w:firstLine="643" w:firstLineChars="200"/>
        <w:rPr>
          <w:rFonts w:hint="eastAsia" w:ascii="Times New Roman" w:hAnsi="Times New Roman" w:eastAsia="仿宋_GB2312"/>
          <w:color w:val="000000"/>
          <w:sz w:val="32"/>
          <w:shd w:val="clear" w:color="auto" w:fill="FFFFFF"/>
          <w:lang w:eastAsia="zh-CN"/>
        </w:rPr>
      </w:pPr>
      <w:r>
        <w:rPr>
          <w:rFonts w:hint="eastAsia" w:ascii="Times New Roman" w:hAnsi="Times New Roman" w:eastAsia="仿宋_GB2312"/>
          <w:b/>
          <w:bCs/>
          <w:color w:val="000000"/>
          <w:sz w:val="32"/>
          <w:shd w:val="clear" w:color="auto" w:fill="FFFFFF"/>
        </w:rPr>
        <w:t>着力提升水环境质量。</w:t>
      </w:r>
      <w:r>
        <w:rPr>
          <w:rFonts w:hint="eastAsia" w:ascii="Times New Roman" w:hAnsi="Times New Roman" w:eastAsia="仿宋_GB2312"/>
          <w:color w:val="000000"/>
          <w:sz w:val="32"/>
          <w:shd w:val="clear" w:color="auto" w:fill="FFFFFF"/>
        </w:rPr>
        <w:t>健全河湖管护长效机制。加快</w:t>
      </w:r>
      <w:r>
        <w:rPr>
          <w:rFonts w:hint="eastAsia" w:ascii="Times New Roman" w:hAnsi="Times New Roman" w:eastAsia="仿宋_GB2312"/>
          <w:color w:val="000000"/>
          <w:sz w:val="32"/>
          <w:shd w:val="clear" w:color="auto" w:fill="FFFFFF"/>
          <w:lang w:eastAsia="zh-CN"/>
        </w:rPr>
        <w:t>农村生活</w:t>
      </w:r>
      <w:r>
        <w:rPr>
          <w:rFonts w:hint="eastAsia" w:ascii="Times New Roman" w:hAnsi="Times New Roman" w:eastAsia="仿宋_GB2312"/>
          <w:color w:val="000000"/>
          <w:sz w:val="32"/>
          <w:shd w:val="clear" w:color="auto" w:fill="FFFFFF"/>
        </w:rPr>
        <w:t>污水处理设施建设，完善污水收集管网体系，提升城乡污水处理能力</w:t>
      </w:r>
      <w:r>
        <w:rPr>
          <w:rFonts w:hint="eastAsia" w:ascii="Times New Roman" w:hAnsi="Times New Roman" w:eastAsia="仿宋_GB2312"/>
          <w:color w:val="000000"/>
          <w:sz w:val="32"/>
          <w:shd w:val="clear" w:color="auto" w:fill="FFFFFF"/>
          <w:lang w:eastAsia="zh-CN"/>
        </w:rPr>
        <w:t>。</w:t>
      </w:r>
      <w:r>
        <w:rPr>
          <w:rFonts w:hint="eastAsia" w:ascii="Times New Roman" w:hAnsi="Times New Roman" w:eastAsia="仿宋_GB2312"/>
          <w:color w:val="000000"/>
          <w:sz w:val="32"/>
          <w:shd w:val="clear" w:color="auto" w:fill="FFFFFF"/>
        </w:rPr>
        <w:t>实施工业废水、生活污水分质处理</w:t>
      </w:r>
      <w:r>
        <w:rPr>
          <w:rFonts w:hint="eastAsia" w:ascii="Times New Roman" w:hAnsi="Times New Roman" w:eastAsia="仿宋_GB2312"/>
          <w:color w:val="000000"/>
          <w:sz w:val="32"/>
          <w:shd w:val="clear" w:color="auto" w:fill="FFFFFF"/>
          <w:lang w:eastAsia="zh-CN"/>
        </w:rPr>
        <w:t>。</w:t>
      </w:r>
      <w:r>
        <w:rPr>
          <w:rFonts w:hint="eastAsia" w:ascii="Times New Roman" w:hAnsi="Times New Roman" w:eastAsia="仿宋_GB2312"/>
          <w:color w:val="000000"/>
          <w:sz w:val="32"/>
          <w:shd w:val="clear" w:color="auto" w:fill="FFFFFF"/>
        </w:rPr>
        <w:t>加强</w:t>
      </w:r>
      <w:r>
        <w:rPr>
          <w:rFonts w:hint="eastAsia" w:ascii="Times New Roman" w:hAnsi="Times New Roman" w:eastAsia="仿宋_GB2312"/>
          <w:color w:val="000000"/>
          <w:sz w:val="32"/>
          <w:shd w:val="clear" w:color="auto" w:fill="FFFFFF"/>
          <w:lang w:eastAsia="zh-CN"/>
        </w:rPr>
        <w:t>“三溪一河”管控，</w:t>
      </w:r>
      <w:r>
        <w:rPr>
          <w:rFonts w:hint="eastAsia" w:ascii="Times New Roman" w:hAnsi="Times New Roman" w:eastAsia="仿宋_GB2312"/>
          <w:color w:val="000000"/>
          <w:sz w:val="32"/>
          <w:shd w:val="clear" w:color="auto" w:fill="FFFFFF"/>
        </w:rPr>
        <w:t>强化河道入河排口整治</w:t>
      </w:r>
      <w:bookmarkStart w:id="14" w:name="_Toc44603971"/>
      <w:bookmarkStart w:id="15" w:name="_Toc50566545"/>
      <w:r>
        <w:rPr>
          <w:rFonts w:hint="eastAsia" w:ascii="Times New Roman" w:hAnsi="Times New Roman" w:eastAsia="仿宋_GB2312"/>
          <w:color w:val="000000"/>
          <w:sz w:val="32"/>
          <w:shd w:val="clear" w:color="auto" w:fill="FFFFFF"/>
          <w:lang w:eastAsia="zh-CN"/>
        </w:rPr>
        <w:t>。开展行政村饮用水源地区划评审报批。</w:t>
      </w:r>
    </w:p>
    <w:p w14:paraId="7EAF7ED4">
      <w:pPr>
        <w:pageBreakBefore w:val="0"/>
        <w:kinsoku/>
        <w:wordWrap/>
        <w:overflowPunct/>
        <w:topLinePunct w:val="0"/>
        <w:bidi w:val="0"/>
        <w:snapToGrid/>
        <w:spacing w:line="240" w:lineRule="auto"/>
        <w:ind w:left="0" w:leftChars="0" w:firstLine="643" w:firstLineChars="200"/>
        <w:rPr>
          <w:rFonts w:hint="eastAsia" w:ascii="Times New Roman" w:hAnsi="Times New Roman" w:eastAsia="仿宋_GB2312"/>
          <w:color w:val="000000"/>
          <w:sz w:val="32"/>
          <w:shd w:val="clear" w:color="auto" w:fill="FFFFFF"/>
          <w:lang w:eastAsia="zh-CN"/>
        </w:rPr>
      </w:pPr>
      <w:r>
        <w:rPr>
          <w:rFonts w:hint="eastAsia" w:ascii="Times New Roman" w:hAnsi="Times New Roman" w:eastAsia="仿宋_GB2312"/>
          <w:b/>
          <w:bCs/>
          <w:color w:val="000000"/>
          <w:sz w:val="32"/>
          <w:shd w:val="clear" w:color="auto" w:fill="FFFFFF"/>
        </w:rPr>
        <w:t>全面加强黑土地保护</w:t>
      </w:r>
      <w:bookmarkEnd w:id="14"/>
      <w:bookmarkEnd w:id="15"/>
      <w:r>
        <w:rPr>
          <w:rFonts w:hint="eastAsia" w:ascii="Times New Roman" w:hAnsi="Times New Roman" w:eastAsia="仿宋_GB2312"/>
          <w:b/>
          <w:bCs/>
          <w:color w:val="000000"/>
          <w:sz w:val="32"/>
          <w:shd w:val="clear" w:color="auto" w:fill="FFFFFF"/>
        </w:rPr>
        <w:t>。</w:t>
      </w:r>
      <w:r>
        <w:rPr>
          <w:rFonts w:hint="eastAsia" w:ascii="Times New Roman" w:hAnsi="Times New Roman" w:eastAsia="仿宋_GB2312"/>
          <w:color w:val="000000"/>
          <w:sz w:val="32"/>
          <w:shd w:val="clear" w:color="auto" w:fill="FFFFFF"/>
        </w:rPr>
        <w:t>建立健全土壤环境监管制度，加强黑土地保护性耕作，引导科学合理使用化肥和农药，推广标准化机械作业、测土配方施肥、种植绿肥</w:t>
      </w:r>
      <w:r>
        <w:rPr>
          <w:rFonts w:hint="eastAsia" w:ascii="Times New Roman" w:hAnsi="Times New Roman" w:eastAsia="仿宋_GB2312"/>
          <w:color w:val="000000"/>
          <w:sz w:val="32"/>
          <w:shd w:val="clear" w:color="auto" w:fill="FFFFFF"/>
          <w:lang w:eastAsia="zh-CN"/>
        </w:rPr>
        <w:t>和</w:t>
      </w:r>
      <w:r>
        <w:rPr>
          <w:rFonts w:hint="eastAsia" w:ascii="Times New Roman" w:hAnsi="Times New Roman" w:eastAsia="仿宋_GB2312"/>
          <w:color w:val="000000"/>
          <w:sz w:val="32"/>
          <w:shd w:val="clear" w:color="auto" w:fill="FFFFFF"/>
        </w:rPr>
        <w:t>水肥一体化、深松整地、</w:t>
      </w:r>
      <w:r>
        <w:rPr>
          <w:rFonts w:hint="eastAsia" w:ascii="Times New Roman" w:hAnsi="Times New Roman" w:eastAsia="仿宋_GB2312"/>
          <w:color w:val="000000"/>
          <w:sz w:val="32"/>
          <w:shd w:val="clear" w:color="auto" w:fill="FFFFFF"/>
          <w:lang w:val="en-US" w:eastAsia="zh-CN"/>
        </w:rPr>
        <w:t>秸秆</w:t>
      </w:r>
      <w:r>
        <w:rPr>
          <w:rFonts w:hint="eastAsia" w:ascii="Times New Roman" w:hAnsi="Times New Roman" w:eastAsia="仿宋_GB2312"/>
          <w:color w:val="000000"/>
          <w:sz w:val="32"/>
          <w:shd w:val="clear" w:color="auto" w:fill="FFFFFF"/>
        </w:rPr>
        <w:t>还田等技术，建立保护性耕作实施效果长期监测机制。到</w:t>
      </w:r>
      <w:r>
        <w:rPr>
          <w:rFonts w:ascii="Times New Roman" w:hAnsi="Times New Roman" w:eastAsia="仿宋_GB2312"/>
          <w:color w:val="000000"/>
          <w:sz w:val="32"/>
          <w:shd w:val="clear" w:color="auto" w:fill="FFFFFF"/>
        </w:rPr>
        <w:t>2025</w:t>
      </w:r>
      <w:r>
        <w:rPr>
          <w:rFonts w:hint="eastAsia" w:ascii="Times New Roman" w:hAnsi="Times New Roman" w:eastAsia="仿宋_GB2312"/>
          <w:color w:val="000000"/>
          <w:sz w:val="32"/>
          <w:shd w:val="clear" w:color="auto" w:fill="FFFFFF"/>
        </w:rPr>
        <w:t>年，全</w:t>
      </w:r>
      <w:r>
        <w:rPr>
          <w:rFonts w:hint="eastAsia" w:ascii="Times New Roman" w:hAnsi="Times New Roman" w:eastAsia="仿宋_GB2312"/>
          <w:color w:val="000000"/>
          <w:sz w:val="32"/>
          <w:shd w:val="clear" w:color="auto" w:fill="FFFFFF"/>
          <w:lang w:eastAsia="zh-CN"/>
        </w:rPr>
        <w:t>区</w:t>
      </w:r>
      <w:r>
        <w:rPr>
          <w:rFonts w:hint="eastAsia" w:ascii="Times New Roman" w:hAnsi="Times New Roman" w:eastAsia="仿宋_GB2312"/>
          <w:color w:val="000000"/>
          <w:sz w:val="32"/>
          <w:shd w:val="clear" w:color="auto" w:fill="FFFFFF"/>
        </w:rPr>
        <w:t>测土配方施肥推广覆盖率达到</w:t>
      </w:r>
      <w:r>
        <w:rPr>
          <w:rFonts w:ascii="Times New Roman" w:hAnsi="Times New Roman" w:eastAsia="仿宋_GB2312"/>
          <w:color w:val="000000"/>
          <w:sz w:val="32"/>
          <w:shd w:val="clear" w:color="auto" w:fill="FFFFFF"/>
        </w:rPr>
        <w:t>90%</w:t>
      </w:r>
      <w:r>
        <w:rPr>
          <w:rFonts w:hint="eastAsia" w:ascii="Times New Roman" w:hAnsi="Times New Roman" w:eastAsia="仿宋_GB2312"/>
          <w:color w:val="000000"/>
          <w:sz w:val="32"/>
          <w:shd w:val="clear" w:color="auto" w:fill="FFFFFF"/>
        </w:rPr>
        <w:t>以上。推进重点地区污染场地和土壤修复，在爱民区土壤污染风险重点管控区，围绕城市周边、重污染工矿企业、集中治污设施周边等实施污染场地土壤治理修复</w:t>
      </w:r>
      <w:r>
        <w:rPr>
          <w:rFonts w:hint="eastAsia" w:ascii="Times New Roman" w:hAnsi="Times New Roman" w:eastAsia="仿宋_GB2312"/>
          <w:color w:val="000000"/>
          <w:sz w:val="32"/>
          <w:shd w:val="clear" w:color="auto" w:fill="FFFFFF"/>
          <w:lang w:eastAsia="zh-CN"/>
        </w:rPr>
        <w:t>。</w:t>
      </w:r>
    </w:p>
    <w:tbl>
      <w:tblPr>
        <w:tblStyle w:val="14"/>
        <w:tblpPr w:leftFromText="180" w:rightFromText="180" w:vertAnchor="text" w:horzAnchor="page" w:tblpX="1587" w:tblpY="303"/>
        <w:tblOverlap w:val="never"/>
        <w:tblW w:w="9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50"/>
      </w:tblGrid>
      <w:tr w14:paraId="23948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7" w:hRule="exact"/>
        </w:trPr>
        <w:tc>
          <w:tcPr>
            <w:tcW w:w="9330" w:type="dxa"/>
            <w:gridSpan w:val="2"/>
            <w:tcBorders>
              <w:left w:val="single" w:color="auto" w:sz="4" w:space="0"/>
              <w:bottom w:val="single" w:color="auto" w:sz="4" w:space="0"/>
              <w:right w:val="single" w:color="auto" w:sz="4" w:space="0"/>
              <w:tl2br w:val="nil"/>
              <w:tr2bl w:val="nil"/>
            </w:tcBorders>
            <w:vAlign w:val="center"/>
          </w:tcPr>
          <w:p w14:paraId="167F1066">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28"/>
                <w:szCs w:val="28"/>
                <w:lang w:val="en-US" w:eastAsia="zh-CN"/>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4</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生态环境综合治理</w:t>
            </w:r>
          </w:p>
        </w:tc>
      </w:tr>
      <w:tr w14:paraId="07BC8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3C87DB2B">
            <w:pPr>
              <w:jc w:val="center"/>
              <w:rPr>
                <w:rFonts w:hint="eastAsia" w:ascii="楷体" w:hAnsi="楷体" w:eastAsia="楷体" w:cs="楷体"/>
                <w:b w:val="0"/>
                <w:bCs w:val="0"/>
                <w:color w:val="auto"/>
                <w:kern w:val="0"/>
                <w:sz w:val="24"/>
                <w:szCs w:val="24"/>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4F36C9AA">
            <w:pPr>
              <w:jc w:val="center"/>
              <w:rPr>
                <w:rFonts w:hint="eastAsia" w:ascii="楷体" w:hAnsi="楷体" w:eastAsia="楷体" w:cs="楷体"/>
                <w:color w:val="000000"/>
                <w:kern w:val="0"/>
                <w:sz w:val="24"/>
                <w:szCs w:val="24"/>
              </w:rPr>
            </w:pPr>
            <w:r>
              <w:rPr>
                <w:rFonts w:ascii="Times New Roman" w:hAnsi="Times New Roman" w:eastAsia="楷体_GB2312" w:cs="Times New Roman"/>
                <w:b/>
                <w:bCs/>
                <w:color w:val="000000" w:themeColor="text1"/>
                <w:sz w:val="24"/>
                <w14:textFill>
                  <w14:solidFill>
                    <w14:schemeClr w14:val="tx1"/>
                  </w14:solidFill>
                </w14:textFill>
              </w:rPr>
              <w:t>重点</w:t>
            </w:r>
            <w:r>
              <w:rPr>
                <w:rFonts w:hint="eastAsia" w:ascii="Times New Roman" w:hAnsi="Times New Roman" w:eastAsia="楷体_GB2312" w:cs="Times New Roman"/>
                <w:b/>
                <w:bCs/>
                <w:color w:val="000000" w:themeColor="text1"/>
                <w:sz w:val="24"/>
                <w:lang w:eastAsia="zh-CN"/>
                <w14:textFill>
                  <w14:solidFill>
                    <w14:schemeClr w14:val="tx1"/>
                  </w14:solidFill>
                </w14:textFill>
              </w:rPr>
              <w:t>工程和</w:t>
            </w:r>
            <w:r>
              <w:rPr>
                <w:rFonts w:ascii="Times New Roman" w:hAnsi="Times New Roman" w:eastAsia="楷体_GB2312" w:cs="Times New Roman"/>
                <w:b/>
                <w:bCs/>
                <w:color w:val="000000" w:themeColor="text1"/>
                <w:sz w:val="24"/>
                <w14:textFill>
                  <w14:solidFill>
                    <w14:schemeClr w14:val="tx1"/>
                  </w14:solidFill>
                </w14:textFill>
              </w:rPr>
              <w:t>项目</w:t>
            </w:r>
          </w:p>
        </w:tc>
      </w:tr>
      <w:tr w14:paraId="6379E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6B507844">
            <w:pPr>
              <w:pStyle w:val="2"/>
              <w:ind w:left="0" w:leftChars="0" w:firstLine="0" w:firstLineChars="0"/>
              <w:jc w:val="center"/>
              <w:rPr>
                <w:rFonts w:hint="eastAsia" w:ascii="楷体" w:hAnsi="楷体" w:eastAsia="楷体" w:cs="楷体"/>
                <w:b w:val="0"/>
                <w:bCs w:val="0"/>
                <w:color w:val="auto"/>
                <w:sz w:val="24"/>
                <w:szCs w:val="24"/>
                <w:lang w:val="en-US" w:eastAsia="zh-CN"/>
              </w:rPr>
            </w:pPr>
            <w:r>
              <w:rPr>
                <w:rFonts w:hint="eastAsia" w:ascii="楷体" w:hAnsi="楷体" w:eastAsia="楷体" w:cs="楷体"/>
                <w:b w:val="0"/>
                <w:bCs w:val="0"/>
                <w:color w:val="auto"/>
                <w:kern w:val="0"/>
                <w:sz w:val="24"/>
                <w:szCs w:val="24"/>
              </w:rPr>
              <w:t>散煤污染治理专项行动</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76C475ED">
            <w:pPr>
              <w:jc w:val="left"/>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kern w:val="0"/>
                <w:sz w:val="24"/>
                <w:szCs w:val="24"/>
              </w:rPr>
              <w:t>制定《</w:t>
            </w:r>
            <w:r>
              <w:rPr>
                <w:rFonts w:hint="eastAsia" w:ascii="楷体" w:hAnsi="楷体" w:eastAsia="楷体" w:cs="楷体"/>
                <w:color w:val="000000"/>
                <w:kern w:val="0"/>
                <w:sz w:val="24"/>
                <w:szCs w:val="24"/>
                <w:lang w:eastAsia="zh-CN"/>
              </w:rPr>
              <w:t>爱民区</w:t>
            </w:r>
            <w:r>
              <w:rPr>
                <w:rFonts w:hint="eastAsia" w:ascii="楷体" w:hAnsi="楷体" w:eastAsia="楷体" w:cs="楷体"/>
                <w:color w:val="000000"/>
                <w:kern w:val="0"/>
                <w:sz w:val="24"/>
                <w:szCs w:val="24"/>
              </w:rPr>
              <w:t>散煤污染治理专项行动方案（2021-2023）》，削减散煤用量，拆并淘汰燃煤锅炉。</w:t>
            </w:r>
          </w:p>
        </w:tc>
      </w:tr>
      <w:tr w14:paraId="23780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1E972A52">
            <w:pPr>
              <w:jc w:val="center"/>
              <w:rPr>
                <w:rFonts w:hint="eastAsia" w:ascii="楷体" w:hAnsi="楷体" w:eastAsia="楷体" w:cs="楷体"/>
                <w:b w:val="0"/>
                <w:bCs w:val="0"/>
                <w:color w:val="auto"/>
                <w:kern w:val="0"/>
                <w:sz w:val="24"/>
                <w:szCs w:val="24"/>
                <w:lang w:val="en-US" w:eastAsia="zh-CN"/>
              </w:rPr>
            </w:pPr>
            <w:r>
              <w:rPr>
                <w:rFonts w:hint="eastAsia" w:ascii="楷体" w:hAnsi="楷体" w:eastAsia="楷体" w:cs="楷体"/>
                <w:b w:val="0"/>
                <w:bCs w:val="0"/>
                <w:color w:val="auto"/>
                <w:kern w:val="0"/>
                <w:sz w:val="24"/>
                <w:szCs w:val="24"/>
              </w:rPr>
              <w:t>施工扬尘管控行动</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1C447FCE">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kern w:val="0"/>
                <w:sz w:val="24"/>
                <w:szCs w:val="24"/>
              </w:rPr>
              <w:t>严格落实工地及周边扬尘管控措施</w:t>
            </w:r>
            <w:r>
              <w:rPr>
                <w:rFonts w:hint="eastAsia" w:ascii="楷体" w:hAnsi="楷体" w:eastAsia="楷体" w:cs="楷体"/>
                <w:color w:val="000000"/>
                <w:kern w:val="0"/>
                <w:sz w:val="24"/>
                <w:szCs w:val="24"/>
                <w:lang w:eastAsia="zh-CN"/>
              </w:rPr>
              <w:t>。</w:t>
            </w:r>
          </w:p>
        </w:tc>
      </w:tr>
      <w:tr w14:paraId="65D9D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67230B58">
            <w:pPr>
              <w:pStyle w:val="2"/>
              <w:ind w:left="0" w:leftChars="0" w:firstLine="0" w:firstLineChars="0"/>
              <w:jc w:val="center"/>
              <w:rPr>
                <w:rFonts w:hint="eastAsia" w:ascii="楷体" w:hAnsi="楷体" w:eastAsia="楷体" w:cs="楷体"/>
                <w:b w:val="0"/>
                <w:bCs w:val="0"/>
                <w:color w:val="auto"/>
                <w:sz w:val="24"/>
                <w:szCs w:val="24"/>
                <w:lang w:val="en-US" w:eastAsia="zh-CN"/>
              </w:rPr>
            </w:pPr>
            <w:r>
              <w:rPr>
                <w:rFonts w:hint="eastAsia" w:ascii="楷体" w:hAnsi="楷体" w:eastAsia="楷体" w:cs="楷体"/>
                <w:b w:val="0"/>
                <w:bCs w:val="0"/>
                <w:color w:val="auto"/>
                <w:kern w:val="0"/>
                <w:sz w:val="24"/>
                <w:szCs w:val="24"/>
              </w:rPr>
              <w:t>农村秸秆露天焚烧全面</w:t>
            </w:r>
            <w:r>
              <w:rPr>
                <w:rFonts w:hint="eastAsia" w:ascii="楷体" w:hAnsi="楷体" w:eastAsia="楷体" w:cs="楷体"/>
                <w:b w:val="0"/>
                <w:bCs w:val="0"/>
                <w:color w:val="auto"/>
                <w:kern w:val="0"/>
                <w:sz w:val="24"/>
                <w:szCs w:val="24"/>
                <w:lang w:val="en-US" w:eastAsia="zh-CN"/>
              </w:rPr>
              <w:t xml:space="preserve">  </w:t>
            </w:r>
            <w:r>
              <w:rPr>
                <w:rFonts w:hint="eastAsia" w:ascii="楷体" w:hAnsi="楷体" w:eastAsia="楷体" w:cs="楷体"/>
                <w:b w:val="0"/>
                <w:bCs w:val="0"/>
                <w:color w:val="auto"/>
                <w:kern w:val="0"/>
                <w:sz w:val="24"/>
                <w:szCs w:val="24"/>
              </w:rPr>
              <w:t>禁止行动</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62EC17A3">
            <w:pPr>
              <w:rPr>
                <w:rFonts w:hint="eastAsia" w:ascii="楷体" w:hAnsi="楷体" w:eastAsia="楷体" w:cs="楷体"/>
                <w:color w:val="000000" w:themeColor="text1"/>
                <w:kern w:val="0"/>
                <w:sz w:val="24"/>
                <w:szCs w:val="24"/>
                <w:lang w:val="en-US" w:eastAsia="zh-CN"/>
                <w14:textFill>
                  <w14:solidFill>
                    <w14:schemeClr w14:val="tx1"/>
                  </w14:solidFill>
                </w14:textFill>
              </w:rPr>
            </w:pPr>
            <w:r>
              <w:rPr>
                <w:rFonts w:hint="eastAsia" w:ascii="楷体" w:hAnsi="楷体" w:eastAsia="楷体" w:cs="楷体"/>
                <w:color w:val="000000"/>
                <w:kern w:val="0"/>
                <w:sz w:val="24"/>
                <w:szCs w:val="24"/>
              </w:rPr>
              <w:t>健全工作队伍，设置网格人员，加强无人机、视频监控等科技管控水平，实现“人防”与“技防”有效结合。</w:t>
            </w:r>
          </w:p>
        </w:tc>
      </w:tr>
      <w:tr w14:paraId="7C1E2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5196A0BA">
            <w:pPr>
              <w:pStyle w:val="2"/>
              <w:ind w:left="0" w:leftChars="0" w:firstLine="0" w:firstLineChars="0"/>
              <w:jc w:val="center"/>
              <w:rPr>
                <w:rFonts w:hint="eastAsia" w:ascii="楷体" w:hAnsi="楷体" w:eastAsia="楷体" w:cs="楷体"/>
                <w:b w:val="0"/>
                <w:bCs w:val="0"/>
                <w:color w:val="auto"/>
                <w:kern w:val="0"/>
                <w:sz w:val="24"/>
                <w:szCs w:val="24"/>
              </w:rPr>
            </w:pPr>
            <w:r>
              <w:rPr>
                <w:rFonts w:hint="eastAsia" w:ascii="楷体" w:hAnsi="楷体" w:eastAsia="楷体" w:cs="楷体"/>
                <w:b w:val="0"/>
                <w:bCs w:val="0"/>
                <w:color w:val="auto"/>
                <w:kern w:val="0"/>
                <w:sz w:val="24"/>
                <w:szCs w:val="24"/>
              </w:rPr>
              <w:t>河湖与水系黑臭水体治理</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2E82BD70">
            <w:pPr>
              <w:rPr>
                <w:rFonts w:hint="eastAsia" w:ascii="楷体" w:hAnsi="楷体" w:eastAsia="楷体" w:cs="楷体"/>
                <w:color w:val="000000"/>
                <w:kern w:val="0"/>
                <w:sz w:val="24"/>
                <w:szCs w:val="24"/>
              </w:rPr>
            </w:pPr>
            <w:r>
              <w:rPr>
                <w:rFonts w:hint="eastAsia" w:ascii="楷体" w:hAnsi="楷体" w:eastAsia="楷体" w:cs="楷体"/>
                <w:b w:val="0"/>
                <w:bCs w:val="0"/>
                <w:color w:val="000000"/>
                <w:kern w:val="0"/>
                <w:sz w:val="24"/>
                <w:szCs w:val="24"/>
                <w:lang w:eastAsia="zh-CN"/>
              </w:rPr>
              <w:t>依托市本级</w:t>
            </w:r>
            <w:r>
              <w:rPr>
                <w:rFonts w:hint="eastAsia" w:ascii="楷体" w:hAnsi="楷体" w:eastAsia="楷体" w:cs="楷体"/>
                <w:color w:val="000000"/>
                <w:kern w:val="0"/>
                <w:sz w:val="24"/>
                <w:szCs w:val="24"/>
              </w:rPr>
              <w:t>开展主要河流入河排放口污染监测，强化河流排污监管，巩固</w:t>
            </w:r>
            <w:r>
              <w:rPr>
                <w:rFonts w:hint="eastAsia" w:ascii="楷体" w:hAnsi="楷体" w:eastAsia="楷体" w:cs="楷体"/>
                <w:color w:val="000000"/>
                <w:kern w:val="0"/>
                <w:sz w:val="24"/>
                <w:szCs w:val="24"/>
                <w:lang w:eastAsia="zh-CN"/>
              </w:rPr>
              <w:t>市区</w:t>
            </w:r>
            <w:r>
              <w:rPr>
                <w:rFonts w:hint="eastAsia" w:ascii="楷体" w:hAnsi="楷体" w:eastAsia="楷体" w:cs="楷体"/>
                <w:color w:val="000000"/>
                <w:kern w:val="0"/>
                <w:sz w:val="24"/>
                <w:szCs w:val="24"/>
              </w:rPr>
              <w:t>黑臭水体治理成果。</w:t>
            </w:r>
          </w:p>
        </w:tc>
      </w:tr>
      <w:tr w14:paraId="45F8C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3CDA4C5C">
            <w:pPr>
              <w:pStyle w:val="2"/>
              <w:ind w:left="0" w:leftChars="0" w:firstLine="0" w:firstLineChars="0"/>
              <w:jc w:val="center"/>
              <w:rPr>
                <w:rFonts w:hint="eastAsia" w:ascii="楷体" w:hAnsi="楷体" w:eastAsia="楷体" w:cs="楷体"/>
                <w:b w:val="0"/>
                <w:bCs w:val="0"/>
                <w:color w:val="auto"/>
                <w:kern w:val="0"/>
                <w:sz w:val="24"/>
                <w:szCs w:val="24"/>
                <w:lang w:eastAsia="zh-CN"/>
              </w:rPr>
            </w:pPr>
            <w:r>
              <w:rPr>
                <w:rFonts w:hint="eastAsia" w:ascii="楷体" w:hAnsi="楷体" w:eastAsia="楷体" w:cs="楷体"/>
                <w:b w:val="0"/>
                <w:bCs w:val="0"/>
                <w:color w:val="auto"/>
                <w:kern w:val="0"/>
                <w:sz w:val="24"/>
                <w:szCs w:val="24"/>
                <w:lang w:eastAsia="zh-CN"/>
              </w:rPr>
              <w:t>农村饮用水水源地区划</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23FB738A">
            <w:pPr>
              <w:pStyle w:val="2"/>
              <w:ind w:left="0" w:leftChars="0" w:firstLine="0" w:firstLineChars="0"/>
              <w:jc w:val="left"/>
              <w:rPr>
                <w:rFonts w:hint="eastAsia" w:ascii="楷体" w:hAnsi="楷体" w:eastAsia="楷体" w:cs="楷体"/>
                <w:b w:val="0"/>
                <w:bCs w:val="0"/>
                <w:color w:val="auto"/>
                <w:kern w:val="0"/>
                <w:sz w:val="24"/>
                <w:szCs w:val="24"/>
                <w:lang w:val="en-US" w:eastAsia="zh-CN"/>
              </w:rPr>
            </w:pPr>
            <w:r>
              <w:rPr>
                <w:rFonts w:hint="eastAsia" w:ascii="楷体" w:hAnsi="楷体" w:eastAsia="楷体" w:cs="楷体"/>
                <w:b w:val="0"/>
                <w:bCs w:val="0"/>
                <w:color w:val="auto"/>
                <w:kern w:val="0"/>
                <w:sz w:val="24"/>
                <w:szCs w:val="24"/>
                <w:lang w:val="en-US" w:eastAsia="zh-CN"/>
              </w:rPr>
              <w:t>组织开展行政村饮用水水源地区划、评审、报批。</w:t>
            </w:r>
          </w:p>
        </w:tc>
      </w:tr>
      <w:tr w14:paraId="3686F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680" w:type="dxa"/>
            <w:tcBorders>
              <w:top w:val="single" w:color="auto" w:sz="4" w:space="0"/>
              <w:left w:val="single" w:color="auto" w:sz="4" w:space="0"/>
              <w:bottom w:val="single" w:color="auto" w:sz="4" w:space="0"/>
              <w:right w:val="single" w:color="auto" w:sz="4" w:space="0"/>
              <w:tl2br w:val="nil"/>
              <w:tr2bl w:val="nil"/>
            </w:tcBorders>
            <w:vAlign w:val="center"/>
          </w:tcPr>
          <w:p w14:paraId="024C2800">
            <w:pPr>
              <w:pStyle w:val="2"/>
              <w:ind w:left="0" w:leftChars="0" w:firstLine="0" w:firstLineChars="0"/>
              <w:jc w:val="center"/>
              <w:rPr>
                <w:rFonts w:hint="eastAsia" w:ascii="楷体" w:hAnsi="楷体" w:eastAsia="楷体" w:cs="楷体"/>
                <w:b w:val="0"/>
                <w:bCs w:val="0"/>
                <w:color w:val="auto"/>
                <w:kern w:val="0"/>
                <w:sz w:val="24"/>
                <w:szCs w:val="24"/>
                <w:lang w:eastAsia="zh-CN"/>
              </w:rPr>
            </w:pPr>
            <w:r>
              <w:rPr>
                <w:rFonts w:hint="eastAsia" w:ascii="楷体" w:hAnsi="楷体" w:eastAsia="楷体" w:cs="楷体"/>
                <w:b w:val="0"/>
                <w:bCs w:val="0"/>
                <w:color w:val="auto"/>
                <w:kern w:val="0"/>
                <w:sz w:val="24"/>
                <w:szCs w:val="24"/>
                <w:lang w:eastAsia="zh-CN"/>
              </w:rPr>
              <w:t>农村生活污水治理</w:t>
            </w:r>
          </w:p>
        </w:tc>
        <w:tc>
          <w:tcPr>
            <w:tcW w:w="6650" w:type="dxa"/>
            <w:tcBorders>
              <w:top w:val="single" w:color="auto" w:sz="4" w:space="0"/>
              <w:left w:val="single" w:color="auto" w:sz="4" w:space="0"/>
              <w:bottom w:val="single" w:color="auto" w:sz="4" w:space="0"/>
              <w:right w:val="single" w:color="auto" w:sz="4" w:space="0"/>
              <w:tl2br w:val="nil"/>
              <w:tr2bl w:val="nil"/>
            </w:tcBorders>
            <w:vAlign w:val="center"/>
          </w:tcPr>
          <w:p w14:paraId="7AAAF728">
            <w:pPr>
              <w:pStyle w:val="2"/>
              <w:ind w:left="0" w:leftChars="0" w:firstLine="0" w:firstLineChars="0"/>
              <w:jc w:val="left"/>
              <w:rPr>
                <w:rFonts w:hint="eastAsia" w:ascii="楷体" w:hAnsi="楷体" w:eastAsia="楷体" w:cs="楷体"/>
                <w:b w:val="0"/>
                <w:bCs w:val="0"/>
                <w:color w:val="auto"/>
                <w:kern w:val="0"/>
                <w:sz w:val="24"/>
                <w:szCs w:val="24"/>
                <w:lang w:eastAsia="zh-CN"/>
              </w:rPr>
            </w:pPr>
            <w:r>
              <w:rPr>
                <w:rFonts w:hint="eastAsia" w:ascii="楷体" w:hAnsi="楷体" w:eastAsia="楷体" w:cs="楷体"/>
                <w:b w:val="0"/>
                <w:bCs w:val="0"/>
                <w:color w:val="auto"/>
                <w:kern w:val="0"/>
                <w:sz w:val="24"/>
                <w:szCs w:val="24"/>
                <w:lang w:val="en-US" w:eastAsia="zh-CN"/>
              </w:rPr>
              <w:t>2021年—2025年完成40%行政村生活污水治理。</w:t>
            </w:r>
          </w:p>
        </w:tc>
      </w:tr>
    </w:tbl>
    <w:p w14:paraId="35C60103">
      <w:pPr>
        <w:pStyle w:val="2"/>
        <w:ind w:left="0" w:leftChars="0" w:firstLine="0" w:firstLineChars="0"/>
        <w:rPr>
          <w:rFonts w:hint="eastAsia" w:ascii="Times New Roman" w:hAnsi="Times New Roman" w:eastAsia="仿宋_GB2312"/>
          <w:color w:val="000000"/>
          <w:sz w:val="32"/>
          <w:shd w:val="clear" w:color="auto" w:fill="FFFFFF"/>
          <w:lang w:eastAsia="zh-CN"/>
        </w:rPr>
      </w:pPr>
    </w:p>
    <w:p w14:paraId="2BD1A8B6">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t>第五节</w:t>
      </w: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  提高社会文明程度</w:t>
      </w:r>
    </w:p>
    <w:p w14:paraId="3AD50035">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黑体" w:eastAsia="仿宋_GB2312"/>
          <w:sz w:val="32"/>
          <w:szCs w:val="32"/>
        </w:rPr>
      </w:pPr>
      <w:r>
        <w:rPr>
          <w:rFonts w:hint="eastAsia" w:ascii="仿宋_GB2312" w:hAnsi="黑体" w:eastAsia="仿宋_GB2312"/>
          <w:sz w:val="32"/>
          <w:szCs w:val="32"/>
        </w:rPr>
        <w:t xml:space="preserve"> 以培育和践行社会主义核心价值观为根本，着力加强公民思想道德建设</w:t>
      </w:r>
      <w:r>
        <w:rPr>
          <w:rFonts w:hint="eastAsia" w:ascii="仿宋_GB2312" w:hAnsi="黑体" w:eastAsia="仿宋_GB2312"/>
          <w:sz w:val="32"/>
          <w:szCs w:val="32"/>
          <w:lang w:eastAsia="zh-CN"/>
        </w:rPr>
        <w:t>。</w:t>
      </w:r>
      <w:r>
        <w:rPr>
          <w:rFonts w:hint="eastAsia" w:ascii="仿宋_GB2312" w:hAnsi="黑体" w:eastAsia="仿宋_GB2312"/>
          <w:sz w:val="32"/>
          <w:szCs w:val="32"/>
        </w:rPr>
        <w:t>不断提高公民文明素质和社会文明程度。深入挖掘和运用典型榜样的力量，加大各级道德模范、龙江好人典型的培树和宣传奖励力度。</w:t>
      </w:r>
      <w:r>
        <w:rPr>
          <w:rFonts w:hint="eastAsia" w:ascii="仿宋_GB2312" w:hAnsi="黑体" w:eastAsia="仿宋_GB2312"/>
          <w:sz w:val="32"/>
          <w:szCs w:val="32"/>
          <w:lang w:eastAsia="zh-CN"/>
        </w:rPr>
        <w:t>建设</w:t>
      </w:r>
      <w:r>
        <w:rPr>
          <w:rFonts w:hint="eastAsia" w:ascii="仿宋_GB2312" w:hAnsi="黑体" w:eastAsia="仿宋_GB2312"/>
          <w:sz w:val="32"/>
          <w:szCs w:val="32"/>
        </w:rPr>
        <w:t>新时代文明实践中心(所、站)</w:t>
      </w:r>
      <w:r>
        <w:rPr>
          <w:rFonts w:hint="eastAsia" w:ascii="仿宋_GB2312" w:hAnsi="黑体" w:eastAsia="仿宋_GB2312"/>
          <w:sz w:val="32"/>
          <w:szCs w:val="32"/>
          <w:lang w:val="en-US" w:eastAsia="zh-CN"/>
        </w:rPr>
        <w:t>49个</w:t>
      </w:r>
      <w:r>
        <w:rPr>
          <w:rFonts w:hint="eastAsia" w:ascii="仿宋_GB2312" w:hAnsi="黑体" w:eastAsia="仿宋_GB2312"/>
          <w:sz w:val="32"/>
          <w:szCs w:val="32"/>
        </w:rPr>
        <w:t>，以此为依托，组织内容丰富、形式多样、主题鲜明的各类活动，在传统节日组织开展</w:t>
      </w:r>
      <w:r>
        <w:rPr>
          <w:rFonts w:hint="eastAsia" w:ascii="仿宋" w:hAnsi="仿宋" w:eastAsia="仿宋" w:cs="楷体_GB2312"/>
          <w:kern w:val="0"/>
          <w:sz w:val="32"/>
          <w:szCs w:val="32"/>
        </w:rPr>
        <w:t xml:space="preserve"> “我们的节日”</w:t>
      </w:r>
      <w:r>
        <w:rPr>
          <w:rFonts w:hint="eastAsia" w:ascii="仿宋_GB2312" w:hAnsi="黑体" w:eastAsia="仿宋_GB2312"/>
          <w:sz w:val="32"/>
          <w:szCs w:val="32"/>
        </w:rPr>
        <w:t>系列活动，引导群众了解传统节日、喜爱传统节日，增强爱国情感。</w:t>
      </w:r>
    </w:p>
    <w:p w14:paraId="1E2DF2A5">
      <w:pPr>
        <w:pageBreakBefore w:val="0"/>
        <w:kinsoku/>
        <w:wordWrap/>
        <w:overflowPunct/>
        <w:topLinePunct w:val="0"/>
        <w:bidi w:val="0"/>
        <w:snapToGrid/>
        <w:spacing w:line="240" w:lineRule="auto"/>
        <w:ind w:left="0" w:leftChars="0" w:firstLine="640" w:firstLineChars="200"/>
        <w:rPr>
          <w:rFonts w:hint="eastAsia" w:ascii="仿宋_GB2312" w:hAnsi="黑体" w:eastAsia="仿宋_GB2312"/>
          <w:sz w:val="32"/>
          <w:szCs w:val="32"/>
        </w:rPr>
      </w:pPr>
      <w:r>
        <w:rPr>
          <w:rFonts w:hint="eastAsia" w:ascii="仿宋_GB2312" w:hAnsi="黑体" w:eastAsia="仿宋_GB2312"/>
          <w:sz w:val="32"/>
          <w:szCs w:val="32"/>
        </w:rPr>
        <w:t>以开展文明城市创建为牵动，促进社会文明不断进步。大力整改薄弱环节，实施清洁环境、秩序维护、文明旅游、文明餐桌、文明出行等“文明大行动”，纠正不文明行为。组织群众性文体活动，不断提高社区自我服务、自我管理、自我教育的水平。深入推进移风易俗，引导群众讲文明树新风，弘扬诚信文化，建设诚信社会。发挥文明委成员单位、文明单位在新时代文明实践工作中的示范带头作用。</w:t>
      </w:r>
    </w:p>
    <w:p w14:paraId="11DA18FA">
      <w:pPr>
        <w:pageBreakBefore w:val="0"/>
        <w:kinsoku/>
        <w:wordWrap/>
        <w:overflowPunct/>
        <w:topLinePunct w:val="0"/>
        <w:bidi w:val="0"/>
        <w:snapToGrid/>
        <w:spacing w:line="240" w:lineRule="auto"/>
        <w:ind w:left="0" w:leftChars="0" w:firstLine="640" w:firstLineChars="200"/>
        <w:rPr>
          <w:rFonts w:hint="eastAsia" w:ascii="楷体_GB2312" w:hAnsi="楷体_GB2312" w:eastAsia="楷体_GB2312" w:cs="楷体_GB2312"/>
          <w:kern w:val="1"/>
          <w:sz w:val="32"/>
          <w:szCs w:val="32"/>
        </w:rPr>
      </w:pPr>
      <w:r>
        <w:rPr>
          <w:rFonts w:hint="eastAsia" w:ascii="仿宋_GB2312" w:hAnsi="黑体" w:eastAsia="仿宋_GB2312"/>
          <w:sz w:val="32"/>
          <w:szCs w:val="32"/>
        </w:rPr>
        <w:t>以促进青少年健康成长为目标，切实加强未成年人思想道德建设。广泛开展优秀童谣、红色经典传唱、</w:t>
      </w:r>
      <w:r>
        <w:rPr>
          <w:rFonts w:hint="eastAsia" w:ascii="仿宋_GB2312" w:eastAsia="仿宋_GB2312"/>
          <w:sz w:val="32"/>
          <w:szCs w:val="32"/>
        </w:rPr>
        <w:t>“扣好人生第一粒扣子”“</w:t>
      </w:r>
      <w:r>
        <w:rPr>
          <w:rFonts w:hint="eastAsia" w:ascii="仿宋_GB2312" w:hAnsi="黑体" w:eastAsia="仿宋_GB2312"/>
          <w:sz w:val="32"/>
          <w:szCs w:val="32"/>
        </w:rPr>
        <w:t>新时代好少年”评选等系列活动，引导青少年树立正确人生观、价值观。</w:t>
      </w:r>
      <w:r>
        <w:rPr>
          <w:rFonts w:hint="eastAsia" w:ascii="仿宋_GB2312" w:eastAsia="仿宋_GB2312"/>
          <w:sz w:val="32"/>
          <w:szCs w:val="32"/>
        </w:rPr>
        <w:t>强化未成年人心理健康教育，规范健全未成年人心理健康辅导站点建设。</w:t>
      </w:r>
      <w:r>
        <w:rPr>
          <w:rFonts w:hint="eastAsia" w:ascii="仿宋_GB2312" w:hAnsi="黑体" w:eastAsia="仿宋_GB2312"/>
          <w:sz w:val="32"/>
          <w:szCs w:val="32"/>
        </w:rPr>
        <w:t>大力净化社会文化环境，深入推进校园周边环境治理。</w:t>
      </w:r>
    </w:p>
    <w:p w14:paraId="5D6D5A44">
      <w:pPr>
        <w:pageBreakBefore w:val="0"/>
        <w:kinsoku/>
        <w:wordWrap/>
        <w:overflowPunct/>
        <w:topLinePunct w:val="0"/>
        <w:bidi w:val="0"/>
        <w:snapToGrid/>
        <w:spacing w:line="240" w:lineRule="auto"/>
        <w:ind w:left="0" w:leftChars="0" w:firstLine="640" w:firstLineChars="200"/>
        <w:rPr>
          <w:rFonts w:hint="eastAsia" w:ascii="仿宋_GB2312" w:hAnsi="黑体" w:eastAsia="仿宋_GB2312"/>
          <w:sz w:val="32"/>
          <w:szCs w:val="32"/>
        </w:rPr>
      </w:pPr>
      <w:r>
        <w:rPr>
          <w:rFonts w:hint="eastAsia" w:ascii="仿宋_GB2312" w:hAnsi="黑体" w:eastAsia="仿宋_GB2312"/>
          <w:sz w:val="32"/>
          <w:szCs w:val="32"/>
        </w:rPr>
        <w:t>以学雷锋活动为抓手，广泛开展志愿服务活动。充分发挥各职能部门的积极性和主动性，精心组织文化建设志愿服务，深入开展关爱空巢老人、关爱残疾人、关爱农民工志愿服务活动，推进志愿服务常态化、制度化</w:t>
      </w:r>
      <w:r>
        <w:rPr>
          <w:rFonts w:hint="eastAsia" w:ascii="仿宋_GB2312" w:hAnsi="黑体" w:eastAsia="仿宋_GB2312"/>
          <w:sz w:val="32"/>
          <w:szCs w:val="32"/>
          <w:lang w:eastAsia="zh-CN"/>
        </w:rPr>
        <w:t>和</w:t>
      </w:r>
      <w:r>
        <w:rPr>
          <w:rFonts w:hint="eastAsia" w:ascii="仿宋_GB2312" w:hAnsi="黑体" w:eastAsia="仿宋_GB2312"/>
          <w:sz w:val="32"/>
          <w:szCs w:val="32"/>
        </w:rPr>
        <w:t>品牌化。</w:t>
      </w:r>
    </w:p>
    <w:p w14:paraId="2ECDD4AE">
      <w:pPr>
        <w:pStyle w:val="2"/>
        <w:rPr>
          <w:rFonts w:hint="eastAsia"/>
          <w:lang w:val="en-US" w:eastAsia="zh-CN"/>
        </w:rPr>
      </w:pPr>
    </w:p>
    <w:p w14:paraId="12A8C96C">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Chars="0"/>
        <w:jc w:val="center"/>
        <w:textAlignment w:val="auto"/>
        <w:rPr>
          <w:rFonts w:hint="eastAsia" w:ascii="黑体" w:hAnsi="黑体" w:eastAsia="黑体" w:cs="黑体"/>
          <w:b w:val="0"/>
          <w:bCs w:val="0"/>
          <w:sz w:val="32"/>
          <w:szCs w:val="32"/>
          <w:lang w:val="en-US" w:eastAsia="zh-CN"/>
        </w:rPr>
      </w:pPr>
      <w:bookmarkStart w:id="16" w:name="_Toc55593780"/>
      <w:r>
        <w:rPr>
          <w:rFonts w:hint="eastAsia" w:ascii="黑体" w:hAnsi="黑体" w:eastAsia="黑体" w:cs="黑体"/>
          <w:b w:val="0"/>
          <w:bCs w:val="0"/>
          <w:sz w:val="32"/>
          <w:szCs w:val="32"/>
          <w:lang w:val="en-US" w:eastAsia="zh-CN"/>
        </w:rPr>
        <w:t>第五章  推进共建共治共享，提高社会建设新水平</w:t>
      </w:r>
    </w:p>
    <w:p w14:paraId="7CFAD3CC">
      <w:pPr>
        <w:pStyle w:val="4"/>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第一节　加强劳动就业</w:t>
      </w:r>
      <w:bookmarkEnd w:id="16"/>
    </w:p>
    <w:p w14:paraId="4D1E6E68">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hint="eastAsia" w:ascii="仿宋" w:hAnsi="仿宋" w:eastAsia="仿宋"/>
          <w:sz w:val="32"/>
          <w:szCs w:val="32"/>
          <w:lang w:eastAsia="zh-CN"/>
        </w:rPr>
      </w:pPr>
      <w:bookmarkStart w:id="17" w:name="_Toc55593781"/>
      <w:r>
        <w:rPr>
          <w:rFonts w:hint="eastAsia" w:ascii="仿宋" w:hAnsi="仿宋" w:eastAsia="仿宋"/>
          <w:b/>
          <w:sz w:val="32"/>
          <w:szCs w:val="32"/>
        </w:rPr>
        <w:t>稳步扩大就业率。</w:t>
      </w:r>
      <w:r>
        <w:rPr>
          <w:rFonts w:hint="eastAsia" w:ascii="仿宋" w:hAnsi="仿宋" w:eastAsia="仿宋"/>
          <w:sz w:val="32"/>
          <w:szCs w:val="32"/>
          <w:lang w:eastAsia="zh-CN"/>
        </w:rPr>
        <w:t>到</w:t>
      </w:r>
      <w:r>
        <w:rPr>
          <w:rFonts w:hint="eastAsia" w:ascii="仿宋" w:hAnsi="仿宋" w:eastAsia="仿宋"/>
          <w:sz w:val="32"/>
          <w:szCs w:val="32"/>
          <w:lang w:val="en-US" w:eastAsia="zh-CN"/>
        </w:rPr>
        <w:t>2025年，</w:t>
      </w:r>
      <w:r>
        <w:rPr>
          <w:rFonts w:hint="eastAsia" w:ascii="仿宋" w:hAnsi="仿宋" w:eastAsia="仿宋"/>
          <w:sz w:val="32"/>
          <w:szCs w:val="32"/>
        </w:rPr>
        <w:t>累计实现新增城镇就业2</w:t>
      </w:r>
      <w:r>
        <w:rPr>
          <w:rFonts w:hint="eastAsia" w:ascii="仿宋" w:hAnsi="仿宋" w:eastAsia="仿宋"/>
          <w:sz w:val="32"/>
          <w:szCs w:val="32"/>
          <w:lang w:eastAsia="zh-CN"/>
        </w:rPr>
        <w:t>万</w:t>
      </w:r>
      <w:r>
        <w:rPr>
          <w:rFonts w:hint="eastAsia" w:ascii="仿宋" w:hAnsi="仿宋" w:eastAsia="仿宋"/>
          <w:sz w:val="32"/>
          <w:szCs w:val="32"/>
        </w:rPr>
        <w:t>人以上，扶持创业2500人，带动就业</w:t>
      </w:r>
      <w:r>
        <w:rPr>
          <w:rFonts w:hint="eastAsia" w:ascii="仿宋" w:hAnsi="仿宋" w:eastAsia="仿宋"/>
          <w:sz w:val="32"/>
          <w:szCs w:val="32"/>
          <w:lang w:val="en-US" w:eastAsia="zh-CN"/>
        </w:rPr>
        <w:t>8000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城镇</w:t>
      </w:r>
      <w:r>
        <w:rPr>
          <w:rFonts w:hint="eastAsia" w:ascii="仿宋" w:hAnsi="仿宋" w:eastAsia="仿宋"/>
          <w:sz w:val="32"/>
          <w:szCs w:val="32"/>
          <w:lang w:eastAsia="zh-CN"/>
        </w:rPr>
        <w:t>调查</w:t>
      </w:r>
      <w:r>
        <w:rPr>
          <w:rFonts w:hint="eastAsia" w:ascii="仿宋" w:hAnsi="仿宋" w:eastAsia="仿宋"/>
          <w:sz w:val="32"/>
          <w:szCs w:val="32"/>
        </w:rPr>
        <w:t>失业率控制在</w:t>
      </w:r>
      <w:r>
        <w:rPr>
          <w:rFonts w:hint="eastAsia" w:ascii="仿宋" w:hAnsi="仿宋" w:eastAsia="仿宋"/>
          <w:sz w:val="32"/>
          <w:szCs w:val="32"/>
          <w:lang w:val="en-US" w:eastAsia="zh-CN"/>
        </w:rPr>
        <w:t>6</w:t>
      </w:r>
      <w:r>
        <w:rPr>
          <w:rFonts w:hint="eastAsia" w:ascii="仿宋" w:hAnsi="仿宋" w:eastAsia="仿宋"/>
          <w:sz w:val="32"/>
          <w:szCs w:val="32"/>
        </w:rPr>
        <w:t>%以内</w:t>
      </w:r>
      <w:r>
        <w:rPr>
          <w:rFonts w:hint="eastAsia" w:ascii="仿宋" w:hAnsi="仿宋" w:eastAsia="仿宋"/>
          <w:sz w:val="32"/>
          <w:szCs w:val="32"/>
          <w:lang w:eastAsia="zh-CN"/>
        </w:rPr>
        <w:t>。</w:t>
      </w:r>
      <w:r>
        <w:rPr>
          <w:rFonts w:hint="eastAsia" w:ascii="仿宋" w:hAnsi="仿宋" w:eastAsia="仿宋"/>
          <w:sz w:val="32"/>
          <w:szCs w:val="32"/>
        </w:rPr>
        <w:t>农村富余劳动力转移就业</w:t>
      </w:r>
      <w:r>
        <w:rPr>
          <w:rFonts w:hint="eastAsia" w:ascii="仿宋" w:hAnsi="仿宋" w:eastAsia="仿宋"/>
          <w:sz w:val="32"/>
          <w:szCs w:val="32"/>
          <w:lang w:val="en-US" w:eastAsia="zh-CN"/>
        </w:rPr>
        <w:t>4000</w:t>
      </w:r>
      <w:r>
        <w:rPr>
          <w:rFonts w:hint="eastAsia" w:ascii="仿宋" w:hAnsi="仿宋" w:eastAsia="仿宋"/>
          <w:sz w:val="32"/>
          <w:szCs w:val="32"/>
        </w:rPr>
        <w:t>人次。城镇零就业家庭保持动态为零。</w:t>
      </w:r>
      <w:r>
        <w:rPr>
          <w:rFonts w:hint="eastAsia" w:ascii="仿宋" w:hAnsi="仿宋" w:eastAsia="仿宋"/>
          <w:sz w:val="32"/>
          <w:szCs w:val="32"/>
          <w:lang w:eastAsia="zh-CN"/>
        </w:rPr>
        <w:t>落实</w:t>
      </w:r>
      <w:r>
        <w:rPr>
          <w:rFonts w:hint="eastAsia" w:ascii="仿宋" w:hAnsi="仿宋" w:eastAsia="仿宋"/>
          <w:sz w:val="32"/>
          <w:szCs w:val="32"/>
        </w:rPr>
        <w:t>就业优先政策</w:t>
      </w:r>
      <w:r>
        <w:rPr>
          <w:rFonts w:hint="eastAsia" w:ascii="仿宋" w:hAnsi="仿宋" w:eastAsia="仿宋"/>
          <w:sz w:val="32"/>
          <w:szCs w:val="32"/>
          <w:lang w:eastAsia="zh-CN"/>
        </w:rPr>
        <w:t>。</w:t>
      </w:r>
      <w:r>
        <w:rPr>
          <w:rFonts w:hint="eastAsia" w:ascii="仿宋" w:hAnsi="仿宋" w:eastAsia="仿宋"/>
          <w:sz w:val="32"/>
          <w:szCs w:val="32"/>
        </w:rPr>
        <w:t>充分利用促进就业的财税、金融、产业等政策，扶持新就业形态，拓展就业空间。完善灵活就业政策扶持体系，鼓励个体经营，增加非全日制</w:t>
      </w:r>
      <w:r>
        <w:rPr>
          <w:rFonts w:hint="eastAsia" w:ascii="仿宋" w:hAnsi="仿宋" w:eastAsia="仿宋"/>
          <w:sz w:val="32"/>
          <w:szCs w:val="32"/>
          <w:lang w:eastAsia="zh-CN"/>
        </w:rPr>
        <w:t>毕业生</w:t>
      </w:r>
      <w:r>
        <w:rPr>
          <w:rFonts w:hint="eastAsia" w:ascii="仿宋" w:hAnsi="仿宋" w:eastAsia="仿宋"/>
          <w:sz w:val="32"/>
          <w:szCs w:val="32"/>
        </w:rPr>
        <w:t>就业机会。以创业带动就业。</w:t>
      </w:r>
      <w:r>
        <w:rPr>
          <w:rFonts w:hint="eastAsia" w:ascii="仿宋" w:hAnsi="仿宋" w:eastAsia="仿宋"/>
          <w:sz w:val="32"/>
          <w:szCs w:val="32"/>
          <w:lang w:eastAsia="zh-CN"/>
        </w:rPr>
        <w:t>落实</w:t>
      </w:r>
      <w:r>
        <w:rPr>
          <w:rFonts w:hint="eastAsia" w:ascii="仿宋" w:hAnsi="仿宋" w:eastAsia="仿宋"/>
          <w:sz w:val="32"/>
          <w:szCs w:val="32"/>
        </w:rPr>
        <w:t>创业补贴等政策，开展创业培训</w:t>
      </w:r>
      <w:r>
        <w:rPr>
          <w:rFonts w:hint="eastAsia" w:ascii="仿宋" w:hAnsi="仿宋" w:eastAsia="仿宋"/>
          <w:sz w:val="32"/>
          <w:szCs w:val="32"/>
          <w:lang w:eastAsia="zh-CN"/>
        </w:rPr>
        <w:t>。打造</w:t>
      </w:r>
      <w:r>
        <w:rPr>
          <w:rFonts w:hint="eastAsia" w:ascii="仿宋" w:hAnsi="仿宋" w:eastAsia="仿宋"/>
          <w:sz w:val="32"/>
          <w:szCs w:val="32"/>
        </w:rPr>
        <w:t>创业孵化基地</w:t>
      </w:r>
      <w:r>
        <w:rPr>
          <w:rFonts w:hint="eastAsia" w:ascii="仿宋" w:hAnsi="仿宋" w:eastAsia="仿宋"/>
          <w:sz w:val="32"/>
          <w:szCs w:val="32"/>
          <w:lang w:eastAsia="zh-CN"/>
        </w:rPr>
        <w:t>。</w:t>
      </w:r>
      <w:r>
        <w:rPr>
          <w:rFonts w:hint="eastAsia" w:ascii="仿宋" w:hAnsi="仿宋" w:eastAsia="仿宋"/>
          <w:sz w:val="32"/>
          <w:szCs w:val="32"/>
        </w:rPr>
        <w:t>推动重点群体就业</w:t>
      </w:r>
      <w:r>
        <w:rPr>
          <w:rFonts w:hint="eastAsia" w:ascii="仿宋" w:hAnsi="仿宋" w:eastAsia="仿宋"/>
          <w:sz w:val="32"/>
          <w:szCs w:val="32"/>
          <w:lang w:eastAsia="zh-CN"/>
        </w:rPr>
        <w:t>，</w:t>
      </w:r>
      <w:r>
        <w:rPr>
          <w:rFonts w:hint="eastAsia" w:ascii="仿宋" w:hAnsi="仿宋" w:eastAsia="仿宋"/>
          <w:sz w:val="32"/>
          <w:szCs w:val="32"/>
        </w:rPr>
        <w:t>拓宽高校毕业生</w:t>
      </w:r>
      <w:r>
        <w:rPr>
          <w:rFonts w:hint="eastAsia" w:ascii="仿宋" w:hAnsi="仿宋" w:eastAsia="仿宋"/>
          <w:sz w:val="32"/>
          <w:szCs w:val="32"/>
          <w:lang w:eastAsia="zh-CN"/>
        </w:rPr>
        <w:t>、农民工、退役军人</w:t>
      </w:r>
      <w:r>
        <w:rPr>
          <w:rFonts w:hint="eastAsia" w:ascii="仿宋" w:hAnsi="仿宋" w:eastAsia="仿宋"/>
          <w:sz w:val="32"/>
          <w:szCs w:val="32"/>
        </w:rPr>
        <w:t>就业渠道。对就业困难人员实行分类精准帮扶</w:t>
      </w:r>
      <w:r>
        <w:rPr>
          <w:rFonts w:hint="eastAsia" w:ascii="仿宋" w:hAnsi="仿宋" w:eastAsia="仿宋"/>
          <w:sz w:val="32"/>
          <w:szCs w:val="32"/>
          <w:lang w:eastAsia="zh-CN"/>
        </w:rPr>
        <w:t>。</w:t>
      </w:r>
      <w:r>
        <w:rPr>
          <w:rFonts w:hint="eastAsia" w:ascii="仿宋" w:hAnsi="仿宋" w:eastAsia="仿宋"/>
          <w:sz w:val="32"/>
          <w:szCs w:val="32"/>
        </w:rPr>
        <w:t>开展职业技能培训。依托技师学院、月子会所、鑫华</w:t>
      </w:r>
      <w:r>
        <w:rPr>
          <w:rFonts w:hint="eastAsia" w:ascii="仿宋" w:hAnsi="仿宋" w:eastAsia="仿宋"/>
          <w:sz w:val="32"/>
          <w:szCs w:val="32"/>
          <w:lang w:eastAsia="zh-CN"/>
        </w:rPr>
        <w:t>技校、新雅美发</w:t>
      </w:r>
      <w:r>
        <w:rPr>
          <w:rFonts w:hint="eastAsia" w:ascii="仿宋" w:hAnsi="仿宋" w:eastAsia="仿宋"/>
          <w:sz w:val="32"/>
          <w:szCs w:val="32"/>
        </w:rPr>
        <w:t>等培训机构，</w:t>
      </w:r>
      <w:r>
        <w:rPr>
          <w:rFonts w:hint="eastAsia" w:ascii="仿宋" w:hAnsi="仿宋" w:eastAsia="仿宋"/>
          <w:sz w:val="32"/>
          <w:szCs w:val="32"/>
          <w:lang w:eastAsia="zh-CN"/>
        </w:rPr>
        <w:t>抓好线上线下培训</w:t>
      </w:r>
      <w:r>
        <w:rPr>
          <w:rFonts w:hint="eastAsia" w:ascii="仿宋" w:hAnsi="仿宋" w:eastAsia="仿宋"/>
          <w:sz w:val="32"/>
          <w:szCs w:val="32"/>
        </w:rPr>
        <w:t>。</w:t>
      </w:r>
      <w:r>
        <w:rPr>
          <w:rFonts w:hint="eastAsia" w:ascii="仿宋" w:hAnsi="仿宋" w:eastAsia="仿宋"/>
          <w:sz w:val="32"/>
          <w:szCs w:val="32"/>
          <w:lang w:eastAsia="zh-CN"/>
        </w:rPr>
        <w:t>加大</w:t>
      </w:r>
      <w:r>
        <w:rPr>
          <w:rFonts w:hint="eastAsia" w:ascii="仿宋" w:hAnsi="仿宋" w:eastAsia="仿宋"/>
          <w:sz w:val="32"/>
          <w:szCs w:val="32"/>
        </w:rPr>
        <w:t>就业帮扶力度。</w:t>
      </w:r>
      <w:r>
        <w:rPr>
          <w:rFonts w:hint="eastAsia" w:ascii="仿宋" w:hAnsi="仿宋" w:eastAsia="仿宋"/>
          <w:sz w:val="32"/>
          <w:szCs w:val="32"/>
          <w:lang w:eastAsia="zh-CN"/>
        </w:rPr>
        <w:t>开展</w:t>
      </w:r>
      <w:r>
        <w:rPr>
          <w:rFonts w:hint="eastAsia" w:ascii="仿宋" w:hAnsi="仿宋" w:eastAsia="仿宋"/>
          <w:sz w:val="32"/>
          <w:szCs w:val="32"/>
        </w:rPr>
        <w:t>“企业招聘周”</w:t>
      </w:r>
      <w:r>
        <w:rPr>
          <w:rFonts w:hint="eastAsia" w:ascii="仿宋" w:hAnsi="仿宋" w:eastAsia="仿宋"/>
          <w:sz w:val="32"/>
          <w:szCs w:val="32"/>
          <w:lang w:eastAsia="zh-CN"/>
        </w:rPr>
        <w:t>等</w:t>
      </w:r>
      <w:r>
        <w:rPr>
          <w:rFonts w:hint="eastAsia" w:ascii="仿宋" w:hAnsi="仿宋" w:eastAsia="仿宋"/>
          <w:sz w:val="32"/>
          <w:szCs w:val="32"/>
        </w:rPr>
        <w:t>就业援助</w:t>
      </w:r>
      <w:r>
        <w:rPr>
          <w:rFonts w:hint="eastAsia" w:ascii="仿宋" w:hAnsi="仿宋" w:eastAsia="仿宋"/>
          <w:sz w:val="32"/>
          <w:szCs w:val="32"/>
          <w:lang w:eastAsia="zh-CN"/>
        </w:rPr>
        <w:t>活动</w:t>
      </w:r>
      <w:r>
        <w:rPr>
          <w:rFonts w:hint="eastAsia" w:ascii="仿宋" w:hAnsi="仿宋" w:eastAsia="仿宋"/>
          <w:sz w:val="32"/>
          <w:szCs w:val="32"/>
        </w:rPr>
        <w:t>，推动重点缺工企业与人力资源市场、职业院校、劳务基地</w:t>
      </w:r>
      <w:r>
        <w:rPr>
          <w:rFonts w:hint="eastAsia" w:ascii="仿宋" w:hAnsi="仿宋" w:eastAsia="仿宋"/>
          <w:sz w:val="32"/>
          <w:szCs w:val="32"/>
          <w:lang w:eastAsia="zh-CN"/>
        </w:rPr>
        <w:t>实现</w:t>
      </w:r>
      <w:r>
        <w:rPr>
          <w:rFonts w:hint="eastAsia" w:ascii="仿宋" w:hAnsi="仿宋" w:eastAsia="仿宋"/>
          <w:sz w:val="32"/>
          <w:szCs w:val="32"/>
        </w:rPr>
        <w:t>“三对接”</w:t>
      </w:r>
      <w:r>
        <w:rPr>
          <w:rFonts w:hint="eastAsia" w:ascii="仿宋" w:hAnsi="仿宋" w:eastAsia="仿宋"/>
          <w:sz w:val="32"/>
          <w:szCs w:val="32"/>
          <w:lang w:eastAsia="zh-CN"/>
        </w:rPr>
        <w:t>。</w:t>
      </w:r>
    </w:p>
    <w:p w14:paraId="5C557FF5">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ascii="仿宋" w:hAnsi="仿宋" w:eastAsia="仿宋"/>
          <w:sz w:val="32"/>
          <w:szCs w:val="32"/>
        </w:rPr>
      </w:pPr>
      <w:r>
        <w:rPr>
          <w:rFonts w:hint="eastAsia" w:ascii="仿宋" w:hAnsi="仿宋" w:eastAsia="仿宋"/>
          <w:b/>
          <w:sz w:val="32"/>
          <w:szCs w:val="32"/>
        </w:rPr>
        <w:t>稳定劳动关系。</w:t>
      </w:r>
      <w:r>
        <w:rPr>
          <w:rFonts w:hint="eastAsia" w:ascii="仿宋" w:hAnsi="仿宋" w:eastAsia="仿宋"/>
          <w:sz w:val="32"/>
          <w:szCs w:val="32"/>
        </w:rPr>
        <w:t>强化劳动保障监察，企业劳动合同签订率达到90%以上，劳动监察和劳动人事争议仲裁结案率达到100%</w:t>
      </w:r>
      <w:r>
        <w:rPr>
          <w:rFonts w:hint="eastAsia" w:ascii="仿宋" w:hAnsi="仿宋" w:eastAsia="仿宋"/>
          <w:sz w:val="32"/>
          <w:szCs w:val="32"/>
          <w:lang w:eastAsia="zh-CN"/>
        </w:rPr>
        <w:t>。</w:t>
      </w:r>
      <w:r>
        <w:rPr>
          <w:rFonts w:hint="eastAsia" w:ascii="仿宋" w:hAnsi="仿宋" w:eastAsia="仿宋"/>
          <w:sz w:val="32"/>
          <w:szCs w:val="32"/>
        </w:rPr>
        <w:t>完善劳动关系协调机制。推进集体协商制度有效落实。强化信访维稳</w:t>
      </w:r>
      <w:r>
        <w:rPr>
          <w:rFonts w:hint="eastAsia" w:ascii="仿宋" w:hAnsi="仿宋" w:eastAsia="仿宋"/>
          <w:sz w:val="32"/>
          <w:szCs w:val="32"/>
          <w:lang w:eastAsia="zh-CN"/>
        </w:rPr>
        <w:t>，</w:t>
      </w:r>
      <w:r>
        <w:rPr>
          <w:rFonts w:hint="eastAsia" w:ascii="仿宋" w:hAnsi="仿宋" w:eastAsia="仿宋"/>
          <w:sz w:val="32"/>
          <w:szCs w:val="32"/>
        </w:rPr>
        <w:t>房地产建设领域拖欠农民工</w:t>
      </w:r>
      <w:r>
        <w:rPr>
          <w:rFonts w:hint="eastAsia" w:ascii="仿宋" w:hAnsi="仿宋" w:eastAsia="仿宋"/>
          <w:sz w:val="32"/>
          <w:szCs w:val="32"/>
          <w:lang w:eastAsia="zh-CN"/>
        </w:rPr>
        <w:t>工</w:t>
      </w:r>
      <w:r>
        <w:rPr>
          <w:rFonts w:hint="eastAsia" w:ascii="仿宋" w:hAnsi="仿宋" w:eastAsia="仿宋"/>
          <w:sz w:val="32"/>
          <w:szCs w:val="32"/>
        </w:rPr>
        <w:t>资</w:t>
      </w:r>
      <w:r>
        <w:rPr>
          <w:rFonts w:hint="eastAsia" w:ascii="仿宋" w:hAnsi="仿宋" w:eastAsia="仿宋"/>
          <w:sz w:val="32"/>
          <w:szCs w:val="32"/>
          <w:lang w:eastAsia="zh-CN"/>
        </w:rPr>
        <w:t>案件办结率达到</w:t>
      </w:r>
      <w:r>
        <w:rPr>
          <w:rFonts w:hint="eastAsia" w:ascii="仿宋" w:hAnsi="仿宋" w:eastAsia="仿宋"/>
          <w:sz w:val="32"/>
          <w:szCs w:val="32"/>
          <w:lang w:val="en-US" w:eastAsia="zh-CN"/>
        </w:rPr>
        <w:t>80%以上。</w:t>
      </w:r>
      <w:r>
        <w:rPr>
          <w:rFonts w:hint="eastAsia" w:ascii="仿宋" w:hAnsi="仿宋" w:eastAsia="仿宋"/>
          <w:sz w:val="32"/>
          <w:szCs w:val="32"/>
        </w:rPr>
        <w:t>各街道办事处</w:t>
      </w:r>
      <w:r>
        <w:rPr>
          <w:rFonts w:hint="eastAsia" w:ascii="仿宋" w:hAnsi="仿宋" w:eastAsia="仿宋"/>
          <w:sz w:val="32"/>
          <w:szCs w:val="32"/>
          <w:lang w:eastAsia="zh-CN"/>
        </w:rPr>
        <w:t>和</w:t>
      </w:r>
      <w:r>
        <w:rPr>
          <w:rFonts w:hint="eastAsia" w:ascii="仿宋" w:hAnsi="仿宋" w:eastAsia="仿宋"/>
          <w:sz w:val="32"/>
          <w:szCs w:val="32"/>
        </w:rPr>
        <w:t>社区建立劳动保障监察工作站</w:t>
      </w:r>
      <w:r>
        <w:rPr>
          <w:rFonts w:hint="eastAsia" w:ascii="仿宋" w:hAnsi="仿宋" w:eastAsia="仿宋"/>
          <w:sz w:val="32"/>
          <w:szCs w:val="32"/>
          <w:lang w:eastAsia="zh-CN"/>
        </w:rPr>
        <w:t>，</w:t>
      </w:r>
      <w:r>
        <w:rPr>
          <w:rFonts w:hint="eastAsia" w:ascii="仿宋" w:hAnsi="仿宋" w:eastAsia="仿宋"/>
          <w:sz w:val="32"/>
          <w:szCs w:val="32"/>
        </w:rPr>
        <w:t>“网格化”管理</w:t>
      </w:r>
      <w:r>
        <w:rPr>
          <w:rFonts w:hint="eastAsia" w:ascii="仿宋" w:hAnsi="仿宋" w:eastAsia="仿宋"/>
          <w:sz w:val="32"/>
          <w:szCs w:val="32"/>
          <w:lang w:eastAsia="zh-CN"/>
        </w:rPr>
        <w:t>达到</w:t>
      </w:r>
      <w:r>
        <w:rPr>
          <w:rFonts w:hint="eastAsia" w:ascii="仿宋" w:hAnsi="仿宋" w:eastAsia="仿宋"/>
          <w:sz w:val="32"/>
          <w:szCs w:val="32"/>
          <w:lang w:val="en-US" w:eastAsia="zh-CN"/>
        </w:rPr>
        <w:t>100%</w:t>
      </w:r>
      <w:r>
        <w:rPr>
          <w:rFonts w:hint="eastAsia" w:ascii="仿宋" w:hAnsi="仿宋" w:eastAsia="仿宋"/>
          <w:sz w:val="32"/>
          <w:szCs w:val="32"/>
        </w:rPr>
        <w:t>。</w:t>
      </w:r>
    </w:p>
    <w:p w14:paraId="26677D04">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第二节　高质量发展文化体育教育</w:t>
      </w:r>
      <w:bookmarkEnd w:id="17"/>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事业</w:t>
      </w:r>
    </w:p>
    <w:p w14:paraId="28D09C54">
      <w:pPr>
        <w:pageBreakBefore w:val="0"/>
        <w:widowControl/>
        <w:kinsoku/>
        <w:wordWrap/>
        <w:overflowPunct/>
        <w:topLinePunct w:val="0"/>
        <w:bidi w:val="0"/>
        <w:snapToGrid/>
        <w:spacing w:line="240" w:lineRule="auto"/>
        <w:ind w:left="0" w:leftChars="0" w:firstLine="640" w:firstLineChars="200"/>
        <w:jc w:val="left"/>
        <w:rPr>
          <w:rFonts w:hint="eastAsia" w:ascii="仿宋" w:hAnsi="仿宋" w:eastAsia="仿宋" w:cs="仿宋_GB2312"/>
          <w:sz w:val="32"/>
          <w:szCs w:val="32"/>
        </w:rPr>
      </w:pPr>
      <w:bookmarkStart w:id="18" w:name="_Toc55593782"/>
      <w:r>
        <w:rPr>
          <w:rFonts w:hint="eastAsia" w:ascii="仿宋" w:hAnsi="仿宋" w:eastAsia="仿宋" w:cs="仿宋_GB2312"/>
          <w:sz w:val="32"/>
          <w:szCs w:val="32"/>
        </w:rPr>
        <w:t>持续推进基本公共文化服务标准化、均等化，均衡配置城乡公共文化资源，</w:t>
      </w:r>
      <w:r>
        <w:rPr>
          <w:rFonts w:hint="eastAsia" w:ascii="仿宋" w:hAnsi="仿宋" w:eastAsia="仿宋" w:cs="仿宋_GB2312"/>
          <w:sz w:val="32"/>
          <w:szCs w:val="32"/>
          <w:lang w:eastAsia="zh-CN"/>
        </w:rPr>
        <w:t>推进</w:t>
      </w:r>
      <w:r>
        <w:rPr>
          <w:rFonts w:hint="eastAsia" w:ascii="仿宋" w:hAnsi="仿宋" w:eastAsia="仿宋" w:cs="仿宋_GB2312"/>
          <w:sz w:val="32"/>
          <w:szCs w:val="32"/>
        </w:rPr>
        <w:t>公共文化服务体系城乡一体</w:t>
      </w:r>
      <w:r>
        <w:rPr>
          <w:rFonts w:hint="eastAsia" w:ascii="仿宋" w:hAnsi="仿宋" w:eastAsia="仿宋" w:cs="仿宋_GB2312"/>
          <w:sz w:val="32"/>
          <w:szCs w:val="32"/>
          <w:lang w:eastAsia="zh-CN"/>
        </w:rPr>
        <w:t>化</w:t>
      </w:r>
      <w:r>
        <w:rPr>
          <w:rFonts w:hint="eastAsia" w:ascii="仿宋" w:hAnsi="仿宋" w:eastAsia="仿宋" w:cs="仿宋_GB2312"/>
          <w:sz w:val="32"/>
          <w:szCs w:val="32"/>
        </w:rPr>
        <w:t>。推</w:t>
      </w:r>
      <w:r>
        <w:rPr>
          <w:rFonts w:hint="eastAsia" w:ascii="仿宋" w:hAnsi="仿宋" w:eastAsia="仿宋" w:cs="仿宋_GB2312"/>
          <w:sz w:val="32"/>
          <w:szCs w:val="32"/>
          <w:lang w:eastAsia="zh-CN"/>
        </w:rPr>
        <w:t>动</w:t>
      </w:r>
      <w:r>
        <w:rPr>
          <w:rFonts w:hint="eastAsia" w:ascii="仿宋" w:hAnsi="仿宋" w:eastAsia="仿宋" w:cs="仿宋_GB2312"/>
          <w:sz w:val="32"/>
          <w:szCs w:val="32"/>
        </w:rPr>
        <w:t>数字服务和流动服务“进村入户”，打通“最后一公里”。推广“互联网+阅读”</w:t>
      </w:r>
      <w:r>
        <w:rPr>
          <w:rFonts w:hint="eastAsia" w:ascii="仿宋" w:hAnsi="仿宋" w:eastAsia="仿宋" w:cs="仿宋_GB2312"/>
          <w:sz w:val="32"/>
          <w:szCs w:val="32"/>
          <w:lang w:eastAsia="zh-CN"/>
        </w:rPr>
        <w:t>，</w:t>
      </w:r>
      <w:r>
        <w:rPr>
          <w:rFonts w:hint="eastAsia" w:ascii="仿宋" w:hAnsi="仿宋" w:eastAsia="仿宋" w:cs="仿宋_GB2312"/>
          <w:sz w:val="32"/>
          <w:szCs w:val="32"/>
        </w:rPr>
        <w:t>扩大覆盖面。活跃群众文化生活，办好全区群众文化活动。开展“百姓大舞台”“爱民文化月”等特色系列文化活动，开展“结对子送文化”“金色田野”“城市之光”等主题系列活动，丰富群众文化生活。培育群众性文化团体和文艺骨干，打造群众文化活动</w:t>
      </w:r>
      <w:r>
        <w:rPr>
          <w:rFonts w:hint="eastAsia" w:ascii="仿宋" w:hAnsi="仿宋" w:eastAsia="仿宋" w:cs="仿宋_GB2312"/>
          <w:sz w:val="32"/>
          <w:szCs w:val="32"/>
          <w:lang w:eastAsia="zh-CN"/>
        </w:rPr>
        <w:t>阵地，</w:t>
      </w:r>
      <w:r>
        <w:rPr>
          <w:rFonts w:hint="eastAsia" w:ascii="仿宋" w:hAnsi="仿宋" w:eastAsia="仿宋" w:cs="仿宋_GB2312"/>
          <w:sz w:val="32"/>
          <w:szCs w:val="32"/>
        </w:rPr>
        <w:t>创</w:t>
      </w:r>
      <w:r>
        <w:rPr>
          <w:rFonts w:hint="eastAsia" w:ascii="仿宋" w:hAnsi="仿宋" w:eastAsia="仿宋" w:cs="仿宋_GB2312"/>
          <w:sz w:val="32"/>
          <w:szCs w:val="32"/>
          <w:lang w:eastAsia="zh-CN"/>
        </w:rPr>
        <w:t>建</w:t>
      </w:r>
      <w:r>
        <w:rPr>
          <w:rFonts w:hint="eastAsia" w:ascii="仿宋" w:hAnsi="仿宋" w:eastAsia="仿宋" w:cs="仿宋_GB2312"/>
          <w:sz w:val="32"/>
          <w:szCs w:val="32"/>
          <w:lang w:val="en-US" w:eastAsia="zh-CN"/>
        </w:rPr>
        <w:t>5个</w:t>
      </w:r>
      <w:r>
        <w:rPr>
          <w:rFonts w:hint="eastAsia" w:ascii="仿宋" w:hAnsi="仿宋" w:eastAsia="仿宋" w:cs="仿宋_GB2312"/>
          <w:sz w:val="32"/>
          <w:szCs w:val="32"/>
        </w:rPr>
        <w:t>活动品牌。形成文化活动、艺术培训、群体建设、图书流转、文化讲座志愿者队伍</w:t>
      </w:r>
      <w:r>
        <w:rPr>
          <w:rFonts w:hint="eastAsia" w:eastAsia="仿宋_GB2312"/>
          <w:color w:val="auto"/>
          <w:sz w:val="32"/>
          <w:szCs w:val="32"/>
          <w:lang w:val="en-US" w:eastAsia="zh-CN"/>
        </w:rPr>
        <w:t>。加快</w:t>
      </w:r>
      <w:r>
        <w:rPr>
          <w:rFonts w:hint="default" w:eastAsia="仿宋_GB2312"/>
          <w:color w:val="auto"/>
          <w:sz w:val="32"/>
          <w:szCs w:val="32"/>
          <w:lang w:val="en-US" w:eastAsia="zh-CN"/>
        </w:rPr>
        <w:t>群众体育发展</w:t>
      </w:r>
      <w:r>
        <w:rPr>
          <w:rFonts w:hint="eastAsia" w:eastAsia="仿宋_GB2312"/>
          <w:color w:val="auto"/>
          <w:sz w:val="32"/>
          <w:szCs w:val="32"/>
          <w:lang w:val="en-US" w:eastAsia="zh-CN"/>
        </w:rPr>
        <w:t>。</w:t>
      </w:r>
      <w:r>
        <w:rPr>
          <w:rFonts w:hint="default" w:eastAsia="仿宋_GB2312"/>
          <w:color w:val="auto"/>
          <w:sz w:val="32"/>
          <w:szCs w:val="32"/>
          <w:lang w:val="en-US" w:eastAsia="zh-CN"/>
        </w:rPr>
        <w:t>开展国民体质监测。</w:t>
      </w:r>
      <w:r>
        <w:rPr>
          <w:rFonts w:hint="eastAsia" w:eastAsia="仿宋_GB2312"/>
          <w:color w:val="auto"/>
          <w:sz w:val="32"/>
          <w:szCs w:val="32"/>
          <w:lang w:val="en-US" w:eastAsia="zh-CN"/>
        </w:rPr>
        <w:t>进一步完善公共体育服务体系，提高公共体育服务水平，切实提高人民群众的身体素质和健康水平。</w:t>
      </w:r>
      <w:r>
        <w:rPr>
          <w:rFonts w:hint="default" w:eastAsia="仿宋_GB2312"/>
          <w:color w:val="auto"/>
          <w:sz w:val="32"/>
          <w:szCs w:val="32"/>
          <w:lang w:val="en-US" w:eastAsia="zh-CN"/>
        </w:rPr>
        <w:t>加强全民健身设施建设，</w:t>
      </w:r>
      <w:r>
        <w:rPr>
          <w:rFonts w:hint="eastAsia" w:eastAsia="仿宋_GB2312"/>
          <w:color w:val="auto"/>
          <w:sz w:val="32"/>
          <w:szCs w:val="32"/>
          <w:lang w:val="en-US" w:eastAsia="zh-CN"/>
        </w:rPr>
        <w:t>新增健身设施90处。</w:t>
      </w:r>
      <w:r>
        <w:rPr>
          <w:rFonts w:hint="default" w:eastAsia="仿宋_GB2312"/>
          <w:color w:val="auto"/>
          <w:sz w:val="32"/>
          <w:szCs w:val="32"/>
          <w:lang w:val="en-US" w:eastAsia="zh-CN"/>
        </w:rPr>
        <w:t>健全全民健身组织</w:t>
      </w:r>
      <w:r>
        <w:rPr>
          <w:rFonts w:hint="eastAsia" w:eastAsia="仿宋_GB2312"/>
          <w:color w:val="auto"/>
          <w:sz w:val="32"/>
          <w:szCs w:val="32"/>
          <w:lang w:val="en-US" w:eastAsia="zh-CN"/>
        </w:rPr>
        <w:t>，</w:t>
      </w:r>
      <w:r>
        <w:rPr>
          <w:rFonts w:hint="default" w:eastAsia="仿宋_GB2312"/>
          <w:color w:val="auto"/>
          <w:sz w:val="32"/>
          <w:szCs w:val="32"/>
          <w:lang w:val="en-US" w:eastAsia="zh-CN"/>
        </w:rPr>
        <w:t>加强指导员队伍建设，</w:t>
      </w:r>
      <w:r>
        <w:rPr>
          <w:rFonts w:hint="eastAsia" w:eastAsia="仿宋_GB2312"/>
          <w:color w:val="auto"/>
          <w:sz w:val="32"/>
          <w:szCs w:val="32"/>
          <w:lang w:val="en-US" w:eastAsia="zh-CN"/>
        </w:rPr>
        <w:t>每年</w:t>
      </w:r>
      <w:r>
        <w:rPr>
          <w:rFonts w:hint="default" w:eastAsia="仿宋_GB2312"/>
          <w:color w:val="auto"/>
          <w:sz w:val="32"/>
          <w:szCs w:val="32"/>
          <w:lang w:val="en-US" w:eastAsia="zh-CN"/>
        </w:rPr>
        <w:t>开展</w:t>
      </w:r>
      <w:r>
        <w:rPr>
          <w:rFonts w:hint="eastAsia" w:eastAsia="仿宋_GB2312"/>
          <w:color w:val="auto"/>
          <w:sz w:val="32"/>
          <w:szCs w:val="32"/>
          <w:lang w:val="en-US" w:eastAsia="zh-CN"/>
        </w:rPr>
        <w:t>大型</w:t>
      </w:r>
      <w:r>
        <w:rPr>
          <w:rFonts w:hint="default" w:eastAsia="仿宋_GB2312"/>
          <w:color w:val="auto"/>
          <w:sz w:val="32"/>
          <w:szCs w:val="32"/>
          <w:lang w:val="en-US" w:eastAsia="zh-CN"/>
        </w:rPr>
        <w:t>群众体育活动</w:t>
      </w:r>
      <w:r>
        <w:rPr>
          <w:rFonts w:hint="eastAsia" w:eastAsia="仿宋_GB2312"/>
          <w:color w:val="auto"/>
          <w:sz w:val="32"/>
          <w:szCs w:val="32"/>
          <w:lang w:val="en-US" w:eastAsia="zh-CN"/>
        </w:rPr>
        <w:t>2次。</w:t>
      </w:r>
    </w:p>
    <w:p w14:paraId="4522F0F6">
      <w:pPr>
        <w:pageBreakBefore w:val="0"/>
        <w:widowControl/>
        <w:kinsoku/>
        <w:wordWrap/>
        <w:overflowPunct/>
        <w:topLinePunct w:val="0"/>
        <w:bidi w:val="0"/>
        <w:snapToGrid/>
        <w:spacing w:line="240" w:lineRule="auto"/>
        <w:ind w:left="0" w:leftChars="0" w:firstLine="640" w:firstLineChars="200"/>
        <w:jc w:val="left"/>
        <w:rPr>
          <w:rFonts w:hint="default" w:eastAsia="仿宋_GB2312"/>
          <w:color w:val="auto"/>
          <w:sz w:val="32"/>
          <w:szCs w:val="32"/>
          <w:lang w:val="en-US" w:eastAsia="zh-CN"/>
        </w:rPr>
      </w:pPr>
      <w:r>
        <w:rPr>
          <w:rFonts w:hint="eastAsia" w:eastAsia="仿宋_GB2312"/>
          <w:sz w:val="32"/>
          <w:szCs w:val="32"/>
        </w:rPr>
        <w:t>加快</w:t>
      </w:r>
      <w:r>
        <w:rPr>
          <w:rFonts w:hint="eastAsia" w:eastAsia="仿宋_GB2312"/>
          <w:color w:val="auto"/>
          <w:sz w:val="32"/>
          <w:szCs w:val="32"/>
          <w:lang w:val="en-US" w:eastAsia="zh-CN"/>
        </w:rPr>
        <w:t>推进落实《牡丹江教育现代化2035》，打造教育强区。以公办“九校一园”为基础，以私立教育培训机构、幼儿园为辅，努力做到“三提高”。提高学前教育办学质量。鼓励多种形式办园，</w:t>
      </w:r>
      <w:r>
        <w:rPr>
          <w:rFonts w:hint="eastAsia" w:ascii="仿宋_GB2312" w:hAnsi="Calibri" w:eastAsia="仿宋_GB2312" w:cs="Times New Roman"/>
          <w:sz w:val="32"/>
          <w:szCs w:val="32"/>
        </w:rPr>
        <w:t>加快推进公办幼儿园建设，扩大普惠性幼儿园覆盖率</w:t>
      </w:r>
      <w:r>
        <w:rPr>
          <w:rFonts w:hint="eastAsia" w:ascii="仿宋_GB2312" w:hAnsi="Calibri" w:eastAsia="仿宋_GB2312" w:cs="Times New Roman"/>
          <w:sz w:val="32"/>
          <w:szCs w:val="32"/>
          <w:lang w:eastAsia="zh-CN"/>
        </w:rPr>
        <w:t>。</w:t>
      </w:r>
      <w:r>
        <w:rPr>
          <w:rFonts w:hint="eastAsia" w:ascii="仿宋" w:hAnsi="仿宋" w:eastAsia="仿宋" w:cs="仿宋"/>
          <w:bCs/>
          <w:color w:val="auto"/>
          <w:kern w:val="0"/>
          <w:sz w:val="31"/>
          <w:szCs w:val="31"/>
        </w:rPr>
        <w:t>改扩建</w:t>
      </w:r>
      <w:r>
        <w:rPr>
          <w:rFonts w:hint="eastAsia" w:ascii="仿宋" w:hAnsi="仿宋" w:eastAsia="仿宋" w:cs="仿宋"/>
          <w:bCs/>
          <w:color w:val="auto"/>
          <w:kern w:val="0"/>
          <w:sz w:val="31"/>
          <w:szCs w:val="31"/>
          <w:lang w:val="en-US" w:eastAsia="zh-CN"/>
        </w:rPr>
        <w:t>1</w:t>
      </w:r>
      <w:r>
        <w:rPr>
          <w:rFonts w:hint="eastAsia" w:ascii="仿宋" w:hAnsi="仿宋" w:eastAsia="仿宋" w:cs="仿宋"/>
          <w:bCs/>
          <w:color w:val="auto"/>
          <w:kern w:val="0"/>
          <w:sz w:val="31"/>
          <w:szCs w:val="31"/>
        </w:rPr>
        <w:t>所公办幼儿园</w:t>
      </w:r>
      <w:r>
        <w:rPr>
          <w:rFonts w:hint="eastAsia" w:ascii="仿宋" w:hAnsi="仿宋" w:eastAsia="仿宋" w:cs="仿宋"/>
          <w:bCs/>
          <w:color w:val="000000"/>
          <w:kern w:val="0"/>
          <w:sz w:val="31"/>
          <w:szCs w:val="31"/>
        </w:rPr>
        <w:t>、推进落实6所小区配套幼儿园</w:t>
      </w:r>
      <w:r>
        <w:rPr>
          <w:rFonts w:hint="eastAsia" w:ascii="仿宋" w:hAnsi="仿宋" w:eastAsia="仿宋" w:cs="仿宋"/>
          <w:bCs/>
          <w:color w:val="000000"/>
          <w:kern w:val="0"/>
          <w:sz w:val="31"/>
          <w:szCs w:val="31"/>
          <w:lang w:eastAsia="zh-CN"/>
        </w:rPr>
        <w:t>、</w:t>
      </w:r>
      <w:r>
        <w:rPr>
          <w:rFonts w:hint="eastAsia" w:ascii="仿宋_GB2312" w:hAnsi="Calibri" w:eastAsia="仿宋_GB2312" w:cs="Times New Roman"/>
          <w:sz w:val="32"/>
          <w:szCs w:val="32"/>
          <w:lang w:val="en-US" w:eastAsia="zh-CN"/>
        </w:rPr>
        <w:t>区教育示范幼儿园改造升级。</w:t>
      </w:r>
      <w:r>
        <w:rPr>
          <w:rFonts w:eastAsia="仿宋_GB2312"/>
          <w:kern w:val="0"/>
          <w:sz w:val="32"/>
          <w:szCs w:val="32"/>
        </w:rPr>
        <w:t>到2025年，学前</w:t>
      </w:r>
      <w:r>
        <w:rPr>
          <w:rFonts w:hint="eastAsia" w:eastAsia="仿宋_GB2312"/>
          <w:kern w:val="0"/>
          <w:sz w:val="32"/>
          <w:szCs w:val="32"/>
        </w:rPr>
        <w:t>三年</w:t>
      </w:r>
      <w:r>
        <w:rPr>
          <w:rFonts w:eastAsia="仿宋_GB2312"/>
          <w:kern w:val="0"/>
          <w:sz w:val="32"/>
          <w:szCs w:val="32"/>
        </w:rPr>
        <w:t>毛入园率达到</w:t>
      </w:r>
      <w:r>
        <w:rPr>
          <w:rFonts w:hint="eastAsia" w:eastAsia="仿宋_GB2312"/>
          <w:kern w:val="0"/>
          <w:sz w:val="32"/>
          <w:szCs w:val="32"/>
        </w:rPr>
        <w:t>90</w:t>
      </w:r>
      <w:r>
        <w:rPr>
          <w:rFonts w:eastAsia="仿宋_GB2312"/>
          <w:kern w:val="0"/>
          <w:sz w:val="32"/>
          <w:szCs w:val="32"/>
        </w:rPr>
        <w:t>%，普惠性幼儿园覆盖率达到</w:t>
      </w:r>
      <w:r>
        <w:rPr>
          <w:rFonts w:hint="eastAsia" w:eastAsia="仿宋_GB2312"/>
          <w:kern w:val="0"/>
          <w:sz w:val="32"/>
          <w:szCs w:val="32"/>
        </w:rPr>
        <w:t>90</w:t>
      </w:r>
      <w:r>
        <w:rPr>
          <w:rFonts w:eastAsia="仿宋_GB2312"/>
          <w:kern w:val="0"/>
          <w:sz w:val="32"/>
          <w:szCs w:val="32"/>
        </w:rPr>
        <w:t>%</w:t>
      </w:r>
      <w:r>
        <w:rPr>
          <w:rFonts w:hint="eastAsia" w:eastAsia="仿宋_GB2312"/>
          <w:kern w:val="0"/>
          <w:sz w:val="32"/>
          <w:szCs w:val="32"/>
        </w:rPr>
        <w:t>，</w:t>
      </w:r>
      <w:r>
        <w:rPr>
          <w:rFonts w:hint="eastAsia" w:ascii="仿宋_GB2312" w:hAnsi="Calibri" w:eastAsia="仿宋_GB2312" w:cs="Times New Roman"/>
          <w:sz w:val="32"/>
          <w:szCs w:val="32"/>
        </w:rPr>
        <w:t>公办幼儿占比</w:t>
      </w:r>
      <w:r>
        <w:rPr>
          <w:rFonts w:hint="eastAsia" w:ascii="仿宋_GB2312" w:hAnsi="Calibri" w:eastAsia="仿宋_GB2312" w:cs="Times New Roman"/>
          <w:sz w:val="32"/>
          <w:szCs w:val="32"/>
          <w:lang w:val="en-US" w:eastAsia="zh-CN"/>
        </w:rPr>
        <w:t>率超出</w:t>
      </w:r>
      <w:r>
        <w:rPr>
          <w:rFonts w:hint="eastAsia" w:ascii="仿宋_GB2312" w:hAnsi="Calibri" w:eastAsia="仿宋_GB2312" w:cs="Times New Roman"/>
          <w:sz w:val="32"/>
          <w:szCs w:val="32"/>
        </w:rPr>
        <w:t>50%</w:t>
      </w:r>
      <w:r>
        <w:rPr>
          <w:rFonts w:eastAsia="仿宋_GB2312"/>
          <w:kern w:val="0"/>
          <w:sz w:val="32"/>
          <w:szCs w:val="32"/>
        </w:rPr>
        <w:t>。</w:t>
      </w:r>
      <w:r>
        <w:rPr>
          <w:rFonts w:hint="eastAsia" w:ascii="仿宋_GB2312" w:hAnsi="Calibri" w:eastAsia="仿宋_GB2312" w:cs="Times New Roman"/>
          <w:sz w:val="32"/>
          <w:szCs w:val="32"/>
          <w:lang w:val="en-US" w:eastAsia="zh-CN"/>
        </w:rPr>
        <w:t>提高义务教育办学质量。</w:t>
      </w:r>
      <w:r>
        <w:rPr>
          <w:rFonts w:eastAsia="仿宋_GB2312"/>
          <w:sz w:val="32"/>
          <w:szCs w:val="32"/>
        </w:rPr>
        <w:t>实施义务教育城乡一体化发展工程，支持集团化办学，鼓励开展学区制管理、联盟制办学和创办分校</w:t>
      </w:r>
      <w:r>
        <w:rPr>
          <w:rFonts w:hint="eastAsia" w:eastAsia="仿宋_GB2312"/>
          <w:sz w:val="32"/>
          <w:szCs w:val="32"/>
          <w:lang w:eastAsia="zh-CN"/>
        </w:rPr>
        <w:t>。</w:t>
      </w:r>
      <w:r>
        <w:rPr>
          <w:rFonts w:hint="eastAsia" w:ascii="仿宋" w:hAnsi="仿宋" w:eastAsia="仿宋" w:cs="仿宋"/>
          <w:bCs/>
          <w:color w:val="000000"/>
          <w:kern w:val="0"/>
          <w:sz w:val="31"/>
          <w:szCs w:val="31"/>
        </w:rPr>
        <w:t>全力配合</w:t>
      </w:r>
      <w:r>
        <w:rPr>
          <w:rFonts w:hint="eastAsia" w:ascii="仿宋" w:hAnsi="仿宋" w:eastAsia="仿宋" w:cs="仿宋"/>
          <w:bCs/>
          <w:color w:val="000000"/>
          <w:kern w:val="0"/>
          <w:sz w:val="31"/>
          <w:szCs w:val="31"/>
          <w:lang w:eastAsia="zh-CN"/>
        </w:rPr>
        <w:t>市里</w:t>
      </w:r>
      <w:r>
        <w:rPr>
          <w:rFonts w:hint="eastAsia" w:ascii="仿宋" w:hAnsi="仿宋" w:eastAsia="仿宋" w:cs="仿宋"/>
          <w:bCs/>
          <w:color w:val="000000"/>
          <w:kern w:val="0"/>
          <w:sz w:val="31"/>
          <w:szCs w:val="31"/>
        </w:rPr>
        <w:t>推进新建二十一中</w:t>
      </w:r>
      <w:r>
        <w:rPr>
          <w:rFonts w:hint="eastAsia" w:ascii="仿宋" w:hAnsi="仿宋" w:eastAsia="仿宋" w:cs="仿宋"/>
          <w:bCs/>
          <w:color w:val="000000"/>
          <w:kern w:val="0"/>
          <w:sz w:val="31"/>
          <w:szCs w:val="31"/>
          <w:lang w:eastAsia="zh-CN"/>
        </w:rPr>
        <w:t>、改造提升九中，</w:t>
      </w:r>
      <w:r>
        <w:rPr>
          <w:rFonts w:hint="default" w:eastAsia="仿宋_GB2312"/>
          <w:color w:val="auto"/>
          <w:sz w:val="32"/>
          <w:szCs w:val="32"/>
          <w:lang w:val="en-US" w:eastAsia="zh-CN"/>
        </w:rPr>
        <w:t>新建</w:t>
      </w:r>
      <w:r>
        <w:rPr>
          <w:rFonts w:hint="eastAsia" w:eastAsia="仿宋_GB2312"/>
          <w:color w:val="auto"/>
          <w:sz w:val="32"/>
          <w:szCs w:val="32"/>
          <w:lang w:val="en-US" w:eastAsia="zh-CN"/>
        </w:rPr>
        <w:t>、</w:t>
      </w:r>
      <w:r>
        <w:rPr>
          <w:rFonts w:hint="default" w:eastAsia="仿宋_GB2312"/>
          <w:color w:val="auto"/>
          <w:sz w:val="32"/>
          <w:szCs w:val="32"/>
          <w:lang w:val="en-US" w:eastAsia="zh-CN"/>
        </w:rPr>
        <w:t>改扩建</w:t>
      </w:r>
      <w:r>
        <w:rPr>
          <w:rFonts w:hint="eastAsia" w:eastAsia="仿宋_GB2312"/>
          <w:color w:val="auto"/>
          <w:sz w:val="32"/>
          <w:szCs w:val="32"/>
          <w:lang w:val="en-US" w:eastAsia="zh-CN"/>
        </w:rPr>
        <w:t>师范附小等</w:t>
      </w:r>
      <w:r>
        <w:rPr>
          <w:rFonts w:hint="default" w:eastAsia="仿宋_GB2312"/>
          <w:color w:val="auto"/>
          <w:sz w:val="32"/>
          <w:szCs w:val="32"/>
          <w:lang w:val="en-US" w:eastAsia="zh-CN"/>
        </w:rPr>
        <w:t>义务教育学校9所</w:t>
      </w:r>
      <w:r>
        <w:rPr>
          <w:rFonts w:hint="eastAsia" w:eastAsia="仿宋_GB2312"/>
          <w:color w:val="auto"/>
          <w:sz w:val="32"/>
          <w:szCs w:val="32"/>
          <w:lang w:val="en-US" w:eastAsia="zh-CN"/>
        </w:rPr>
        <w:t>。</w:t>
      </w:r>
      <w:r>
        <w:rPr>
          <w:rFonts w:hint="default" w:eastAsia="仿宋_GB2312"/>
          <w:color w:val="auto"/>
          <w:sz w:val="32"/>
          <w:szCs w:val="32"/>
          <w:lang w:val="en-US" w:eastAsia="zh-CN"/>
        </w:rPr>
        <w:t>推进区属校外综合实践基地项目建设，创建1所劳动实践基地</w:t>
      </w:r>
      <w:r>
        <w:rPr>
          <w:rFonts w:hint="eastAsia" w:eastAsia="仿宋_GB2312"/>
          <w:color w:val="auto"/>
          <w:sz w:val="32"/>
          <w:szCs w:val="32"/>
          <w:lang w:val="en-US" w:eastAsia="zh-CN"/>
        </w:rPr>
        <w:t>、</w:t>
      </w:r>
      <w:r>
        <w:rPr>
          <w:rFonts w:hint="default" w:eastAsia="仿宋_GB2312"/>
          <w:color w:val="auto"/>
          <w:sz w:val="32"/>
          <w:szCs w:val="32"/>
          <w:lang w:val="en-US" w:eastAsia="zh-CN"/>
        </w:rPr>
        <w:t>1所红色教育实践基地。推动教学改革</w:t>
      </w:r>
      <w:r>
        <w:rPr>
          <w:rFonts w:hint="eastAsia" w:eastAsia="仿宋_GB2312"/>
          <w:color w:val="auto"/>
          <w:sz w:val="32"/>
          <w:szCs w:val="32"/>
          <w:lang w:val="en-US" w:eastAsia="zh-CN"/>
        </w:rPr>
        <w:t>，</w:t>
      </w:r>
      <w:r>
        <w:rPr>
          <w:rFonts w:hint="default" w:eastAsia="仿宋_GB2312"/>
          <w:color w:val="auto"/>
          <w:sz w:val="32"/>
          <w:szCs w:val="32"/>
          <w:lang w:val="en-US" w:eastAsia="zh-CN"/>
        </w:rPr>
        <w:t>打造</w:t>
      </w:r>
      <w:r>
        <w:rPr>
          <w:rFonts w:hint="eastAsia" w:eastAsia="仿宋_GB2312"/>
          <w:color w:val="auto"/>
          <w:sz w:val="32"/>
          <w:szCs w:val="32"/>
          <w:lang w:val="en-US" w:eastAsia="zh-CN"/>
        </w:rPr>
        <w:t>“</w:t>
      </w:r>
      <w:r>
        <w:rPr>
          <w:rFonts w:hint="default" w:eastAsia="仿宋_GB2312"/>
          <w:color w:val="auto"/>
          <w:sz w:val="32"/>
          <w:szCs w:val="32"/>
          <w:lang w:val="en-US" w:eastAsia="zh-CN"/>
        </w:rPr>
        <w:t>学本式成长课堂</w:t>
      </w:r>
      <w:r>
        <w:rPr>
          <w:rFonts w:hint="eastAsia" w:eastAsia="仿宋_GB2312"/>
          <w:color w:val="auto"/>
          <w:sz w:val="32"/>
          <w:szCs w:val="32"/>
          <w:lang w:val="en-US" w:eastAsia="zh-CN"/>
        </w:rPr>
        <w:t>”</w:t>
      </w:r>
      <w:r>
        <w:rPr>
          <w:rFonts w:hint="default" w:eastAsia="仿宋_GB2312"/>
          <w:color w:val="auto"/>
          <w:sz w:val="32"/>
          <w:szCs w:val="32"/>
          <w:lang w:val="en-US" w:eastAsia="zh-CN"/>
        </w:rPr>
        <w:t>。</w:t>
      </w:r>
      <w:r>
        <w:rPr>
          <w:rFonts w:hint="eastAsia" w:eastAsia="仿宋_GB2312"/>
          <w:sz w:val="32"/>
          <w:szCs w:val="32"/>
        </w:rPr>
        <w:t>支持民办教育规范发展，加强校外培训机构管理</w:t>
      </w:r>
      <w:r>
        <w:rPr>
          <w:rFonts w:hint="eastAsia" w:eastAsia="仿宋_GB2312"/>
          <w:sz w:val="32"/>
          <w:szCs w:val="32"/>
          <w:lang w:eastAsia="zh-CN"/>
        </w:rPr>
        <w:t>。</w:t>
      </w:r>
      <w:r>
        <w:rPr>
          <w:rFonts w:hint="eastAsia" w:ascii="仿宋" w:hAnsi="仿宋" w:eastAsia="仿宋" w:cs="仿宋"/>
          <w:bCs/>
          <w:color w:val="000000"/>
          <w:kern w:val="0"/>
          <w:sz w:val="31"/>
          <w:szCs w:val="31"/>
        </w:rPr>
        <w:t>进一步优化全区教育网点布局，不断增加优质教育资源。</w:t>
      </w:r>
      <w:r>
        <w:rPr>
          <w:rFonts w:eastAsia="仿宋_GB2312"/>
          <w:sz w:val="32"/>
          <w:szCs w:val="32"/>
        </w:rPr>
        <w:t>到2025年实现义务教育优质均衡发展目标</w:t>
      </w:r>
      <w:r>
        <w:rPr>
          <w:rFonts w:hint="eastAsia" w:eastAsia="仿宋_GB2312"/>
          <w:sz w:val="32"/>
          <w:szCs w:val="32"/>
        </w:rPr>
        <w:t>。</w:t>
      </w:r>
      <w:r>
        <w:rPr>
          <w:rFonts w:hint="eastAsia" w:eastAsia="仿宋_GB2312"/>
          <w:sz w:val="32"/>
          <w:szCs w:val="32"/>
          <w:lang w:val="en-US" w:eastAsia="zh-CN"/>
        </w:rPr>
        <w:t>提高教育信息化水平。加快推进“</w:t>
      </w:r>
      <w:r>
        <w:rPr>
          <w:rFonts w:eastAsia="仿宋_GB2312"/>
          <w:sz w:val="32"/>
          <w:szCs w:val="32"/>
        </w:rPr>
        <w:t>互联网＋教育</w:t>
      </w:r>
      <w:r>
        <w:rPr>
          <w:rFonts w:hint="eastAsia" w:eastAsia="仿宋_GB2312"/>
          <w:sz w:val="32"/>
          <w:szCs w:val="32"/>
          <w:lang w:val="en-US" w:eastAsia="zh-CN"/>
        </w:rPr>
        <w:t>”</w:t>
      </w:r>
      <w:r>
        <w:rPr>
          <w:rFonts w:eastAsia="仿宋_GB2312"/>
          <w:sz w:val="32"/>
          <w:szCs w:val="32"/>
        </w:rPr>
        <w:t>行动</w:t>
      </w:r>
      <w:r>
        <w:rPr>
          <w:rFonts w:hint="eastAsia" w:eastAsia="仿宋_GB2312"/>
          <w:sz w:val="32"/>
          <w:szCs w:val="32"/>
          <w:lang w:eastAsia="zh-CN"/>
        </w:rPr>
        <w:t>和</w:t>
      </w:r>
      <w:r>
        <w:rPr>
          <w:rFonts w:hint="eastAsia" w:eastAsia="仿宋_GB2312"/>
          <w:sz w:val="32"/>
          <w:szCs w:val="32"/>
        </w:rPr>
        <w:t>教育信息化2.0建设</w:t>
      </w:r>
      <w:r>
        <w:rPr>
          <w:rFonts w:hint="eastAsia" w:eastAsia="仿宋_GB2312"/>
          <w:sz w:val="32"/>
          <w:szCs w:val="32"/>
          <w:lang w:eastAsia="zh-CN"/>
        </w:rPr>
        <w:t>，</w:t>
      </w:r>
      <w:r>
        <w:rPr>
          <w:rFonts w:hint="default" w:eastAsia="仿宋_GB2312"/>
          <w:color w:val="auto"/>
          <w:sz w:val="32"/>
          <w:szCs w:val="32"/>
          <w:lang w:val="en-US" w:eastAsia="zh-CN"/>
        </w:rPr>
        <w:t>开展5G+教育创新应用和教育现代化2.0项目</w:t>
      </w:r>
      <w:r>
        <w:rPr>
          <w:rFonts w:hint="eastAsia" w:eastAsia="仿宋_GB2312"/>
          <w:color w:val="auto"/>
          <w:sz w:val="32"/>
          <w:szCs w:val="32"/>
          <w:lang w:val="en-US" w:eastAsia="zh-CN"/>
        </w:rPr>
        <w:t>建设</w:t>
      </w:r>
      <w:r>
        <w:rPr>
          <w:rFonts w:hint="default" w:eastAsia="仿宋_GB2312"/>
          <w:color w:val="auto"/>
          <w:sz w:val="32"/>
          <w:szCs w:val="32"/>
          <w:lang w:val="en-US" w:eastAsia="zh-CN"/>
        </w:rPr>
        <w:t>，初</w:t>
      </w:r>
      <w:r>
        <w:rPr>
          <w:rFonts w:hint="eastAsia" w:eastAsia="仿宋_GB2312"/>
          <w:color w:val="auto"/>
          <w:sz w:val="32"/>
          <w:szCs w:val="32"/>
          <w:lang w:val="en-US" w:eastAsia="zh-CN"/>
        </w:rPr>
        <w:t>步建成5G+智慧教育应用网络基站及平台。</w:t>
      </w:r>
    </w:p>
    <w:tbl>
      <w:tblPr>
        <w:tblStyle w:val="14"/>
        <w:tblpPr w:leftFromText="180" w:rightFromText="180" w:vertAnchor="text" w:horzAnchor="page" w:tblpX="1397" w:tblpY="560"/>
        <w:tblOverlap w:val="never"/>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8190"/>
      </w:tblGrid>
      <w:tr w14:paraId="46E95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9480" w:type="dxa"/>
            <w:gridSpan w:val="2"/>
          </w:tcPr>
          <w:p w14:paraId="262AF278">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28"/>
                <w:szCs w:val="28"/>
                <w:lang w:val="en-US" w:eastAsia="zh-CN"/>
                <w14:textFill>
                  <w14:solidFill>
                    <w14:schemeClr w14:val="tx1"/>
                  </w14:solidFill>
                </w14:textFill>
              </w:rPr>
            </w:pPr>
            <w:r>
              <w:rPr>
                <w:rFonts w:ascii="Times New Roman" w:hAnsi="Times New Roman" w:eastAsia="楷体_GB2312" w:cs="Times New Roman"/>
                <w:b/>
                <w:bCs/>
                <w:color w:val="000000" w:themeColor="text1"/>
                <w:sz w:val="28"/>
                <w:szCs w:val="28"/>
                <w14:textFill>
                  <w14:solidFill>
                    <w14:schemeClr w14:val="tx1"/>
                  </w14:solidFill>
                </w14:textFill>
              </w:rPr>
              <w:t>专栏</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5</w:t>
            </w:r>
            <w:r>
              <w:rPr>
                <w:rFonts w:ascii="Times New Roman" w:hAnsi="Times New Roman" w:eastAsia="楷体_GB2312" w:cs="Times New Roman"/>
                <w:b/>
                <w:bCs/>
                <w:color w:val="000000" w:themeColor="text1"/>
                <w:sz w:val="28"/>
                <w:szCs w:val="28"/>
                <w14:textFill>
                  <w14:solidFill>
                    <w14:schemeClr w14:val="tx1"/>
                  </w14:solidFill>
                </w14:textFill>
              </w:rPr>
              <w:t>-</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2</w:t>
            </w:r>
            <w:r>
              <w:rPr>
                <w:rFonts w:ascii="Times New Roman" w:hAnsi="Times New Roman" w:eastAsia="楷体_GB2312" w:cs="Times New Roman"/>
                <w:b/>
                <w:bCs/>
                <w:color w:val="000000" w:themeColor="text1"/>
                <w:sz w:val="28"/>
                <w:szCs w:val="28"/>
                <w14:textFill>
                  <w14:solidFill>
                    <w14:schemeClr w14:val="tx1"/>
                  </w14:solidFill>
                </w14:textFill>
              </w:rPr>
              <w:t xml:space="preserve">  </w:t>
            </w: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发展文化体育教育事业</w:t>
            </w:r>
          </w:p>
        </w:tc>
      </w:tr>
      <w:tr w14:paraId="518AA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90" w:type="dxa"/>
            <w:vAlign w:val="center"/>
          </w:tcPr>
          <w:p w14:paraId="7711612C">
            <w:pPr>
              <w:jc w:val="center"/>
              <w:rPr>
                <w:rFonts w:hint="eastAsia" w:ascii="Times New Roman" w:hAnsi="Times New Roman" w:eastAsia="楷体_GB2312" w:cs="Times New Roman"/>
                <w:b/>
                <w:bCs/>
                <w:color w:val="000000" w:themeColor="text1"/>
                <w:kern w:val="2"/>
                <w:sz w:val="24"/>
                <w:szCs w:val="24"/>
                <w:lang w:val="en-US" w:eastAsia="zh-CN" w:bidi="ar-SA"/>
                <w14:textFill>
                  <w14:solidFill>
                    <w14:schemeClr w14:val="tx1"/>
                  </w14:solidFill>
                </w14:textFill>
              </w:rPr>
            </w:pPr>
            <w:r>
              <w:rPr>
                <w:rFonts w:ascii="Times New Roman" w:hAnsi="Times New Roman" w:eastAsia="楷体_GB2312" w:cs="Times New Roman"/>
                <w:b/>
                <w:bCs/>
                <w:color w:val="000000" w:themeColor="text1"/>
                <w:sz w:val="24"/>
                <w14:textFill>
                  <w14:solidFill>
                    <w14:schemeClr w14:val="tx1"/>
                  </w14:solidFill>
                </w14:textFill>
              </w:rPr>
              <w:t>领域</w:t>
            </w:r>
          </w:p>
        </w:tc>
        <w:tc>
          <w:tcPr>
            <w:tcW w:w="8190" w:type="dxa"/>
            <w:vAlign w:val="center"/>
          </w:tcPr>
          <w:p w14:paraId="27AD8633">
            <w:pPr>
              <w:jc w:val="center"/>
              <w:rPr>
                <w:rFonts w:hint="eastAsia" w:ascii="Times New Roman" w:hAnsi="Times New Roman" w:eastAsia="楷体_GB2312"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楷体_GB2312" w:cs="Times New Roman"/>
                <w:b/>
                <w:bCs/>
                <w:color w:val="000000" w:themeColor="text1"/>
                <w:sz w:val="24"/>
                <w14:textFill>
                  <w14:solidFill>
                    <w14:schemeClr w14:val="tx1"/>
                  </w14:solidFill>
                </w14:textFill>
              </w:rPr>
              <w:t>重点工程</w:t>
            </w:r>
            <w:r>
              <w:rPr>
                <w:rFonts w:hint="eastAsia" w:ascii="Times New Roman" w:hAnsi="Times New Roman" w:eastAsia="楷体_GB2312" w:cs="Times New Roman"/>
                <w:b/>
                <w:bCs/>
                <w:color w:val="000000" w:themeColor="text1"/>
                <w:sz w:val="24"/>
                <w:lang w:eastAsia="zh-CN"/>
                <w14:textFill>
                  <w14:solidFill>
                    <w14:schemeClr w14:val="tx1"/>
                  </w14:solidFill>
                </w14:textFill>
              </w:rPr>
              <w:t>和</w:t>
            </w:r>
            <w:r>
              <w:rPr>
                <w:rFonts w:ascii="Times New Roman" w:hAnsi="Times New Roman" w:eastAsia="楷体_GB2312" w:cs="Times New Roman"/>
                <w:b/>
                <w:bCs/>
                <w:color w:val="000000" w:themeColor="text1"/>
                <w:sz w:val="24"/>
                <w14:textFill>
                  <w14:solidFill>
                    <w14:schemeClr w14:val="tx1"/>
                  </w14:solidFill>
                </w14:textFill>
              </w:rPr>
              <w:t>项目</w:t>
            </w:r>
          </w:p>
        </w:tc>
      </w:tr>
      <w:tr w14:paraId="3C52F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290" w:type="dxa"/>
            <w:vAlign w:val="center"/>
          </w:tcPr>
          <w:p w14:paraId="1A9A224B">
            <w:pPr>
              <w:pStyle w:val="2"/>
              <w:ind w:left="0" w:leftChars="0" w:firstLine="0" w:firstLineChars="0"/>
              <w:jc w:val="center"/>
              <w:rPr>
                <w:rFonts w:hint="default"/>
                <w:lang w:val="en-US" w:eastAsia="zh-CN"/>
              </w:rPr>
            </w:pPr>
            <w:r>
              <w:rPr>
                <w:rFonts w:hint="eastAsia" w:ascii="楷体" w:hAnsi="楷体" w:eastAsia="楷体" w:cs="楷体"/>
                <w:sz w:val="24"/>
                <w:szCs w:val="24"/>
                <w:lang w:val="en-US" w:eastAsia="zh-CN"/>
              </w:rPr>
              <w:t>文化事业</w:t>
            </w:r>
          </w:p>
        </w:tc>
        <w:tc>
          <w:tcPr>
            <w:tcW w:w="8190" w:type="dxa"/>
            <w:vAlign w:val="center"/>
          </w:tcPr>
          <w:p w14:paraId="7043E01C">
            <w:pPr>
              <w:jc w:val="left"/>
              <w:rPr>
                <w:rFonts w:hint="default" w:ascii="Times New Roman" w:hAnsi="Times New Roman" w:eastAsia="楷体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持续推进基本公共文化服务标准化、均等化。推广“互联网+阅读”城乡一体化，推动数字服务和流动服务“进村入户”。活跃群众文化生活，办好全区文化活动，培育群众性文化团体和文艺骨干志愿者队伍，创建5个活动品牌。</w:t>
            </w:r>
          </w:p>
        </w:tc>
      </w:tr>
      <w:tr w14:paraId="439E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290" w:type="dxa"/>
            <w:vAlign w:val="center"/>
          </w:tcPr>
          <w:p w14:paraId="58169C5A">
            <w:pPr>
              <w:jc w:val="center"/>
              <w:rPr>
                <w:rFonts w:hint="default" w:ascii="Times New Roman" w:hAnsi="Times New Roman" w:eastAsia="楷体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体育事业</w:t>
            </w:r>
          </w:p>
        </w:tc>
        <w:tc>
          <w:tcPr>
            <w:tcW w:w="8190" w:type="dxa"/>
            <w:vAlign w:val="center"/>
          </w:tcPr>
          <w:p w14:paraId="5F3D0A30">
            <w:pPr>
              <w:rPr>
                <w:rFonts w:hint="default" w:ascii="Times New Roman" w:hAnsi="Times New Roman" w:eastAsia="楷体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切实提高人民群众的身体素质和健康水平。全区新增健身设施90处，每年开展大型群众体育活动2次以上。</w:t>
            </w:r>
          </w:p>
        </w:tc>
      </w:tr>
      <w:tr w14:paraId="04371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trPr>
        <w:tc>
          <w:tcPr>
            <w:tcW w:w="1290" w:type="dxa"/>
            <w:vAlign w:val="center"/>
          </w:tcPr>
          <w:p w14:paraId="7F5544D9">
            <w:pPr>
              <w:pStyle w:val="2"/>
              <w:ind w:left="0" w:leftChars="0" w:firstLine="0" w:firstLineChars="0"/>
              <w:jc w:val="center"/>
              <w:rPr>
                <w:rFonts w:hint="default"/>
                <w:lang w:val="en-US" w:eastAsia="zh-CN"/>
              </w:rPr>
            </w:pPr>
            <w:r>
              <w:rPr>
                <w:rFonts w:hint="eastAsia" w:ascii="楷体" w:hAnsi="楷体" w:eastAsia="楷体" w:cs="楷体"/>
                <w:sz w:val="24"/>
                <w:szCs w:val="24"/>
                <w:lang w:val="en-US" w:eastAsia="zh-CN"/>
              </w:rPr>
              <w:t>教育事业</w:t>
            </w:r>
          </w:p>
        </w:tc>
        <w:tc>
          <w:tcPr>
            <w:tcW w:w="8190" w:type="dxa"/>
            <w:vAlign w:val="center"/>
          </w:tcPr>
          <w:p w14:paraId="32B4AACB">
            <w:pPr>
              <w:rPr>
                <w:rFonts w:hint="default" w:ascii="Times New Roman" w:hAnsi="Times New Roman" w:eastAsia="楷体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加快推进落实《牡丹江教育现代化2035》，打造教育强区，努力做到“三提高”。</w:t>
            </w:r>
            <w:r>
              <w:rPr>
                <w:rFonts w:hint="eastAsia" w:ascii="Times New Roman" w:hAnsi="Times New Roman" w:eastAsia="楷体_GB2312" w:cs="Times New Roman"/>
                <w:b/>
                <w:bCs/>
                <w:color w:val="000000" w:themeColor="text1"/>
                <w:kern w:val="0"/>
                <w:sz w:val="24"/>
                <w:szCs w:val="24"/>
                <w:lang w:val="en-US" w:eastAsia="zh-CN"/>
                <w14:textFill>
                  <w14:solidFill>
                    <w14:schemeClr w14:val="tx1"/>
                  </w14:solidFill>
                </w14:textFill>
              </w:rPr>
              <w:t>提高学前教育办学质量。</w:t>
            </w: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改扩建1所公办幼儿园。推进落实6所小区配套幼儿园，完成区教育示范幼儿园改造升级项目；</w:t>
            </w:r>
            <w:r>
              <w:rPr>
                <w:rFonts w:hint="eastAsia" w:ascii="Times New Roman" w:hAnsi="Times New Roman" w:eastAsia="楷体_GB2312" w:cs="Times New Roman"/>
                <w:b/>
                <w:bCs/>
                <w:color w:val="000000" w:themeColor="text1"/>
                <w:kern w:val="0"/>
                <w:sz w:val="24"/>
                <w:szCs w:val="24"/>
                <w:lang w:val="en-US" w:eastAsia="zh-CN"/>
                <w14:textFill>
                  <w14:solidFill>
                    <w14:schemeClr w14:val="tx1"/>
                  </w14:solidFill>
                </w14:textFill>
              </w:rPr>
              <w:t>提高义务教育办学质量。</w:t>
            </w: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全力配合市里推进新建二十一中、改造提升九中，新建改扩建师范附小等学校9所，创建1所校外劳动实践基地、1所红色教育实践基地；</w:t>
            </w:r>
            <w:r>
              <w:rPr>
                <w:rFonts w:hint="eastAsia" w:ascii="Times New Roman" w:hAnsi="Times New Roman" w:eastAsia="楷体_GB2312" w:cs="Times New Roman"/>
                <w:b/>
                <w:bCs/>
                <w:color w:val="000000" w:themeColor="text1"/>
                <w:kern w:val="0"/>
                <w:sz w:val="24"/>
                <w:szCs w:val="24"/>
                <w:lang w:val="en-US" w:eastAsia="zh-CN"/>
                <w14:textFill>
                  <w14:solidFill>
                    <w14:schemeClr w14:val="tx1"/>
                  </w14:solidFill>
                </w14:textFill>
              </w:rPr>
              <w:t>提高教育信息化水平。</w:t>
            </w:r>
            <w:r>
              <w:rPr>
                <w:rFonts w:hint="eastAsia" w:ascii="Times New Roman" w:hAnsi="Times New Roman" w:eastAsia="楷体_GB2312" w:cs="Times New Roman"/>
                <w:color w:val="000000" w:themeColor="text1"/>
                <w:kern w:val="0"/>
                <w:sz w:val="24"/>
                <w:szCs w:val="24"/>
                <w:lang w:val="en-US" w:eastAsia="zh-CN"/>
                <w14:textFill>
                  <w14:solidFill>
                    <w14:schemeClr w14:val="tx1"/>
                  </w14:solidFill>
                </w14:textFill>
              </w:rPr>
              <w:t>加快推进“互联网+教育”行动和教育信息化2.0建设，开展5G+教育创新应用和教育现代化2.0项目建设，初步建成5G+智慧教育应用网络基站及平台。</w:t>
            </w:r>
          </w:p>
        </w:tc>
      </w:tr>
    </w:tbl>
    <w:p w14:paraId="3F4A68E0">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both"/>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p>
    <w:p w14:paraId="644F3770">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第三节　健全多层次社会保障体系</w:t>
      </w:r>
      <w:bookmarkEnd w:id="18"/>
    </w:p>
    <w:p w14:paraId="4BDF7AA0">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ascii="仿宋" w:hAnsi="仿宋" w:eastAsia="仿宋"/>
          <w:sz w:val="32"/>
          <w:szCs w:val="32"/>
        </w:rPr>
      </w:pPr>
      <w:r>
        <w:rPr>
          <w:rFonts w:hint="eastAsia" w:ascii="Times New Roman" w:hAnsi="Times New Roman" w:eastAsia="仿宋_GB2312" w:cs="Times New Roman"/>
          <w:b/>
          <w:bCs/>
          <w:color w:val="000000" w:themeColor="text1"/>
          <w:kern w:val="0"/>
          <w:sz w:val="32"/>
          <w:szCs w:val="32"/>
          <w14:textFill>
            <w14:solidFill>
              <w14:schemeClr w14:val="tx1"/>
            </w14:solidFill>
          </w14:textFill>
        </w:rPr>
        <w:t>完善社会保障体系。</w:t>
      </w:r>
      <w:r>
        <w:rPr>
          <w:rFonts w:hint="eastAsia" w:ascii="Times New Roman" w:hAnsi="Times New Roman" w:eastAsia="仿宋_GB2312" w:cs="Times New Roman"/>
          <w:color w:val="000000" w:themeColor="text1"/>
          <w:kern w:val="0"/>
          <w:sz w:val="32"/>
          <w:szCs w:val="32"/>
          <w14:textFill>
            <w14:solidFill>
              <w14:schemeClr w14:val="tx1"/>
            </w14:solidFill>
          </w14:textFill>
        </w:rPr>
        <w:t>保基本、多层次</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14:textFill>
            <w14:solidFill>
              <w14:schemeClr w14:val="tx1"/>
            </w14:solidFill>
          </w14:textFill>
        </w:rPr>
        <w:t>城乡统筹的社会保障体系基本建立</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14:textFill>
            <w14:solidFill>
              <w14:schemeClr w14:val="tx1"/>
            </w14:solidFill>
          </w14:textFill>
        </w:rPr>
        <w:t>城乡居民参保率达到95%以上。</w:t>
      </w:r>
      <w:r>
        <w:rPr>
          <w:rFonts w:hint="eastAsia" w:ascii="仿宋" w:hAnsi="仿宋" w:eastAsia="仿宋"/>
          <w:sz w:val="32"/>
          <w:szCs w:val="32"/>
          <w:highlight w:val="none"/>
        </w:rPr>
        <w:t>加大城乡居民社会养老保险各项政策宣传力度，</w:t>
      </w:r>
      <w:r>
        <w:rPr>
          <w:rFonts w:hint="eastAsia" w:ascii="仿宋" w:hAnsi="仿宋" w:eastAsia="仿宋"/>
          <w:sz w:val="32"/>
          <w:szCs w:val="32"/>
          <w:highlight w:val="none"/>
          <w:lang w:eastAsia="zh-CN"/>
        </w:rPr>
        <w:t>政策知晓率达到</w:t>
      </w:r>
      <w:r>
        <w:rPr>
          <w:rFonts w:hint="eastAsia" w:ascii="仿宋" w:hAnsi="仿宋" w:eastAsia="仿宋"/>
          <w:sz w:val="32"/>
          <w:szCs w:val="32"/>
          <w:highlight w:val="none"/>
          <w:lang w:val="en-US" w:eastAsia="zh-CN"/>
        </w:rPr>
        <w:t>100%。</w:t>
      </w:r>
      <w:r>
        <w:rPr>
          <w:rFonts w:hint="eastAsia" w:ascii="仿宋" w:hAnsi="仿宋" w:eastAsia="仿宋"/>
          <w:sz w:val="32"/>
          <w:szCs w:val="32"/>
        </w:rPr>
        <w:t>打造标准化、智能化社会保障公共服务平台，面向各类劳动者提供线上线下公共服务。构建12333综合咨询、社会保障卡、微信一体化</w:t>
      </w:r>
      <w:r>
        <w:rPr>
          <w:rFonts w:hint="eastAsia" w:ascii="仿宋" w:hAnsi="仿宋" w:eastAsia="仿宋"/>
          <w:sz w:val="32"/>
          <w:szCs w:val="32"/>
          <w:lang w:eastAsia="zh-CN"/>
        </w:rPr>
        <w:t>社保</w:t>
      </w:r>
      <w:r>
        <w:rPr>
          <w:rFonts w:hint="eastAsia" w:ascii="仿宋" w:hAnsi="仿宋" w:eastAsia="仿宋"/>
          <w:sz w:val="32"/>
          <w:szCs w:val="32"/>
        </w:rPr>
        <w:t>信息服务</w:t>
      </w:r>
      <w:r>
        <w:rPr>
          <w:rFonts w:hint="eastAsia" w:ascii="仿宋" w:hAnsi="仿宋" w:eastAsia="仿宋"/>
          <w:sz w:val="32"/>
          <w:szCs w:val="32"/>
          <w:lang w:eastAsia="zh-CN"/>
        </w:rPr>
        <w:t>平台</w:t>
      </w:r>
      <w:r>
        <w:rPr>
          <w:rFonts w:hint="eastAsia" w:ascii="仿宋" w:hAnsi="仿宋" w:eastAsia="仿宋"/>
          <w:sz w:val="32"/>
          <w:szCs w:val="32"/>
        </w:rPr>
        <w:t>，实现服务网络和服务功能的全覆盖。发行加载金融功能的社会保障卡，提高社会保障卡</w:t>
      </w:r>
      <w:r>
        <w:rPr>
          <w:rFonts w:hint="eastAsia" w:ascii="仿宋" w:hAnsi="仿宋" w:eastAsia="仿宋"/>
          <w:sz w:val="32"/>
          <w:szCs w:val="32"/>
          <w:lang w:eastAsia="zh-CN"/>
        </w:rPr>
        <w:t>综合</w:t>
      </w:r>
      <w:r>
        <w:rPr>
          <w:rFonts w:hint="eastAsia" w:ascii="仿宋" w:hAnsi="仿宋" w:eastAsia="仿宋"/>
          <w:sz w:val="32"/>
          <w:szCs w:val="32"/>
        </w:rPr>
        <w:t>应用水平。</w:t>
      </w:r>
    </w:p>
    <w:p w14:paraId="1B409469">
      <w:pPr>
        <w:keepNext w:val="0"/>
        <w:keepLines w:val="0"/>
        <w:pageBreakBefore w:val="0"/>
        <w:widowControl w:val="0"/>
        <w:kinsoku/>
        <w:wordWrap/>
        <w:overflowPunct/>
        <w:topLinePunct w:val="0"/>
        <w:autoSpaceDE/>
        <w:autoSpaceDN/>
        <w:bidi w:val="0"/>
        <w:adjustRightInd w:val="0"/>
        <w:snapToGrid/>
        <w:spacing w:line="240" w:lineRule="auto"/>
        <w:ind w:left="0" w:leftChars="0" w:firstLine="643" w:firstLineChars="200"/>
        <w:textAlignment w:val="auto"/>
        <w:rPr>
          <w:rFonts w:hint="eastAsia" w:ascii="仿宋_GB2312" w:eastAsia="仿宋_GB2312"/>
          <w:b w:val="0"/>
          <w:bCs w:val="0"/>
          <w:sz w:val="32"/>
          <w:szCs w:val="32"/>
          <w:lang w:eastAsia="zh-CN"/>
        </w:rPr>
      </w:pPr>
      <w:r>
        <w:rPr>
          <w:rFonts w:ascii="Times New Roman" w:hAnsi="Times New Roman" w:eastAsia="仿宋_GB2312" w:cs="Times New Roman"/>
          <w:b/>
          <w:bCs/>
          <w:color w:val="000000" w:themeColor="text1"/>
          <w:kern w:val="0"/>
          <w:sz w:val="32"/>
          <w:szCs w:val="32"/>
          <w14:textFill>
            <w14:solidFill>
              <w14:schemeClr w14:val="tx1"/>
            </w14:solidFill>
          </w14:textFill>
        </w:rPr>
        <w:t>织牢社会救助网</w:t>
      </w:r>
      <w:r>
        <w:rPr>
          <w:rFonts w:ascii="Times New Roman" w:hAnsi="Times New Roman" w:eastAsia="仿宋_GB2312" w:cs="Times New Roman"/>
          <w:color w:val="000000" w:themeColor="text1"/>
          <w:kern w:val="0"/>
          <w:sz w:val="32"/>
          <w:szCs w:val="32"/>
          <w14:textFill>
            <w14:solidFill>
              <w14:schemeClr w14:val="tx1"/>
            </w14:solidFill>
          </w14:textFill>
        </w:rPr>
        <w:t>。</w:t>
      </w:r>
      <w:r>
        <w:rPr>
          <w:rFonts w:hint="default" w:ascii="仿宋_GB2312" w:hAnsi="Times New Roman" w:eastAsia="仿宋_GB2312" w:cs="Times New Roman"/>
          <w:b w:val="0"/>
          <w:bCs w:val="0"/>
          <w:kern w:val="2"/>
          <w:sz w:val="32"/>
          <w:szCs w:val="32"/>
          <w:lang w:val="en-US" w:eastAsia="zh-CN" w:bidi="ar-SA"/>
        </w:rPr>
        <w:t>实现城乡社会救助</w:t>
      </w:r>
      <w:r>
        <w:rPr>
          <w:rFonts w:hint="eastAsia" w:ascii="仿宋_GB2312" w:hAnsi="Times New Roman" w:eastAsia="仿宋_GB2312" w:cs="Times New Roman"/>
          <w:b w:val="0"/>
          <w:bCs w:val="0"/>
          <w:kern w:val="2"/>
          <w:sz w:val="32"/>
          <w:szCs w:val="32"/>
          <w:lang w:val="en-US" w:eastAsia="zh-CN" w:bidi="ar-SA"/>
        </w:rPr>
        <w:t>全覆盖</w:t>
      </w:r>
      <w:r>
        <w:rPr>
          <w:rFonts w:hint="eastAsia" w:ascii="仿宋_GB2312"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加快推动社会救助服务对象</w:t>
      </w:r>
      <w:r>
        <w:rPr>
          <w:rFonts w:hint="eastAsia" w:ascii="仿宋_GB2312" w:hAnsi="Times New Roman" w:eastAsia="仿宋_GB2312" w:cs="Times New Roman"/>
          <w:b w:val="0"/>
          <w:bCs w:val="0"/>
          <w:kern w:val="2"/>
          <w:sz w:val="32"/>
          <w:szCs w:val="32"/>
          <w:lang w:val="en-US" w:eastAsia="zh-CN" w:bidi="ar-SA"/>
        </w:rPr>
        <w:t>由“</w:t>
      </w:r>
      <w:r>
        <w:rPr>
          <w:rFonts w:hint="default" w:ascii="仿宋_GB2312" w:hAnsi="Times New Roman" w:eastAsia="仿宋_GB2312" w:cs="Times New Roman"/>
          <w:b w:val="0"/>
          <w:bCs w:val="0"/>
          <w:kern w:val="2"/>
          <w:sz w:val="32"/>
          <w:szCs w:val="32"/>
          <w:lang w:val="en-US" w:eastAsia="zh-CN" w:bidi="ar-SA"/>
        </w:rPr>
        <w:t>特定群体</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向</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社会公众</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转变</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社会救助服务</w:t>
      </w:r>
      <w:r>
        <w:rPr>
          <w:rFonts w:hint="eastAsia" w:ascii="仿宋_GB2312" w:hAnsi="Times New Roman" w:eastAsia="仿宋_GB2312" w:cs="Times New Roman"/>
          <w:b w:val="0"/>
          <w:bCs w:val="0"/>
          <w:kern w:val="2"/>
          <w:sz w:val="32"/>
          <w:szCs w:val="32"/>
          <w:lang w:val="en-US" w:eastAsia="zh-CN" w:bidi="ar-SA"/>
        </w:rPr>
        <w:t>由“</w:t>
      </w:r>
      <w:r>
        <w:rPr>
          <w:rFonts w:hint="default" w:ascii="仿宋_GB2312" w:hAnsi="Times New Roman" w:eastAsia="仿宋_GB2312" w:cs="Times New Roman"/>
          <w:b w:val="0"/>
          <w:bCs w:val="0"/>
          <w:kern w:val="2"/>
          <w:sz w:val="32"/>
          <w:szCs w:val="32"/>
          <w:lang w:val="en-US" w:eastAsia="zh-CN" w:bidi="ar-SA"/>
        </w:rPr>
        <w:t>管理服务</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向</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治理服务</w:t>
      </w:r>
      <w:r>
        <w:rPr>
          <w:rFonts w:hint="eastAsia" w:ascii="仿宋_GB2312" w:hAnsi="Times New Roman" w:eastAsia="仿宋_GB2312" w:cs="Times New Roman"/>
          <w:b w:val="0"/>
          <w:bCs w:val="0"/>
          <w:kern w:val="2"/>
          <w:sz w:val="32"/>
          <w:szCs w:val="32"/>
          <w:lang w:val="en-US" w:eastAsia="zh-CN" w:bidi="ar-SA"/>
        </w:rPr>
        <w:t>”转变</w:t>
      </w:r>
      <w:r>
        <w:rPr>
          <w:rFonts w:hint="eastAsia" w:ascii="仿宋_GB2312" w:eastAsia="仿宋_GB2312" w:cs="Times New Roman"/>
          <w:b w:val="0"/>
          <w:bCs w:val="0"/>
          <w:kern w:val="2"/>
          <w:sz w:val="32"/>
          <w:szCs w:val="32"/>
          <w:lang w:val="en-US" w:eastAsia="zh-CN" w:bidi="ar-SA"/>
        </w:rPr>
        <w:t>。</w:t>
      </w:r>
      <w:r>
        <w:rPr>
          <w:rFonts w:hint="default" w:ascii="仿宋_GB2312" w:eastAsia="仿宋_GB2312"/>
          <w:color w:val="auto"/>
          <w:sz w:val="32"/>
          <w:szCs w:val="32"/>
          <w:lang w:val="en-US" w:eastAsia="zh-CN"/>
        </w:rPr>
        <w:t>不断完善社会救助渐退制度，逐步健全基本生活的保障标准量化确定和动态调整机制</w:t>
      </w:r>
      <w:r>
        <w:rPr>
          <w:rFonts w:hint="eastAsia" w:ascii="仿宋_GB2312" w:eastAsia="仿宋_GB2312"/>
          <w:color w:val="auto"/>
          <w:sz w:val="32"/>
          <w:szCs w:val="32"/>
          <w:lang w:val="en-US" w:eastAsia="zh-CN"/>
        </w:rPr>
        <w:t>，实现“应保尽保、应救尽救”。</w:t>
      </w:r>
      <w:r>
        <w:rPr>
          <w:rFonts w:hint="default" w:ascii="仿宋_GB2312" w:eastAsia="仿宋_GB2312"/>
          <w:color w:val="auto"/>
          <w:sz w:val="32"/>
          <w:szCs w:val="32"/>
          <w:lang w:val="en-US" w:eastAsia="zh-CN"/>
        </w:rPr>
        <w:t>以国家大数据为依托，</w:t>
      </w:r>
      <w:r>
        <w:rPr>
          <w:rFonts w:hint="eastAsia" w:ascii="仿宋_GB2312" w:eastAsia="仿宋_GB2312"/>
          <w:color w:val="auto"/>
          <w:sz w:val="32"/>
          <w:szCs w:val="32"/>
          <w:lang w:val="en-US" w:eastAsia="zh-CN"/>
        </w:rPr>
        <w:t>实现</w:t>
      </w:r>
      <w:r>
        <w:rPr>
          <w:rFonts w:hint="default" w:ascii="仿宋_GB2312" w:eastAsia="仿宋_GB2312"/>
          <w:color w:val="auto"/>
          <w:sz w:val="32"/>
          <w:szCs w:val="32"/>
          <w:lang w:val="en-US" w:eastAsia="zh-CN"/>
        </w:rPr>
        <w:t>跨部门协同</w:t>
      </w:r>
      <w:r>
        <w:rPr>
          <w:rFonts w:hint="eastAsia" w:ascii="仿宋_GB2312" w:eastAsia="仿宋_GB2312"/>
          <w:color w:val="auto"/>
          <w:sz w:val="32"/>
          <w:szCs w:val="32"/>
          <w:lang w:val="en-US" w:eastAsia="zh-CN"/>
        </w:rPr>
        <w:t>合</w:t>
      </w:r>
      <w:r>
        <w:rPr>
          <w:rFonts w:hint="default" w:ascii="仿宋_GB2312" w:eastAsia="仿宋_GB2312"/>
          <w:color w:val="auto"/>
          <w:sz w:val="32"/>
          <w:szCs w:val="32"/>
          <w:lang w:val="en-US" w:eastAsia="zh-CN"/>
        </w:rPr>
        <w:t>作，形成社会救助合力</w:t>
      </w:r>
      <w:r>
        <w:rPr>
          <w:rFonts w:hint="eastAsia" w:ascii="仿宋_GB2312" w:eastAsia="仿宋_GB2312"/>
          <w:color w:val="auto"/>
          <w:sz w:val="32"/>
          <w:szCs w:val="32"/>
          <w:lang w:val="en-US" w:eastAsia="zh-CN"/>
        </w:rPr>
        <w:t>。</w:t>
      </w:r>
      <w:r>
        <w:rPr>
          <w:rFonts w:hint="eastAsia" w:ascii="仿宋_GB2312" w:eastAsia="仿宋_GB2312"/>
          <w:b w:val="0"/>
          <w:bCs w:val="0"/>
          <w:sz w:val="32"/>
          <w:szCs w:val="32"/>
        </w:rPr>
        <w:t>落实残疾人两项补贴标准动态调整</w:t>
      </w:r>
      <w:r>
        <w:rPr>
          <w:rFonts w:hint="eastAsia" w:ascii="仿宋_GB2312" w:eastAsia="仿宋_GB2312"/>
          <w:b w:val="0"/>
          <w:bCs w:val="0"/>
          <w:sz w:val="32"/>
          <w:szCs w:val="32"/>
          <w:lang w:eastAsia="zh-CN"/>
        </w:rPr>
        <w:t>制度。</w:t>
      </w:r>
      <w:r>
        <w:rPr>
          <w:rFonts w:hint="eastAsia" w:ascii="仿宋_GB2312" w:eastAsia="仿宋_GB2312"/>
          <w:b w:val="0"/>
          <w:bCs w:val="0"/>
          <w:sz w:val="32"/>
          <w:szCs w:val="32"/>
        </w:rPr>
        <w:t>加强流浪乞讨人员救助管理</w:t>
      </w:r>
      <w:r>
        <w:rPr>
          <w:rFonts w:hint="eastAsia" w:ascii="仿宋_GB2312" w:eastAsia="仿宋_GB2312"/>
          <w:b w:val="0"/>
          <w:bCs w:val="0"/>
          <w:sz w:val="32"/>
          <w:szCs w:val="32"/>
          <w:lang w:eastAsia="zh-CN"/>
        </w:rPr>
        <w:t>。</w:t>
      </w:r>
    </w:p>
    <w:p w14:paraId="32C9C474">
      <w:pPr>
        <w:pageBreakBefore w:val="0"/>
        <w:kinsoku/>
        <w:wordWrap/>
        <w:overflowPunct/>
        <w:topLinePunct w:val="0"/>
        <w:bidi w:val="0"/>
        <w:snapToGrid/>
        <w:spacing w:line="240" w:lineRule="auto"/>
        <w:ind w:left="0" w:leftChars="0" w:firstLine="643" w:firstLineChars="200"/>
        <w:rPr>
          <w:rFonts w:hint="eastAsia" w:ascii="仿宋_GB2312" w:eastAsia="仿宋_GB2312"/>
          <w:color w:val="auto"/>
          <w:sz w:val="32"/>
          <w:szCs w:val="32"/>
          <w:lang w:val="en-US" w:eastAsia="zh-CN"/>
        </w:rPr>
      </w:pPr>
      <w:r>
        <w:rPr>
          <w:rFonts w:hint="eastAsia" w:ascii="仿宋" w:hAnsi="仿宋" w:eastAsia="仿宋"/>
          <w:b/>
          <w:bCs/>
          <w:sz w:val="32"/>
          <w:szCs w:val="32"/>
          <w:lang w:eastAsia="zh-CN"/>
        </w:rPr>
        <w:t>强化退役军人事业发展。</w:t>
      </w:r>
      <w:r>
        <w:rPr>
          <w:rFonts w:hint="eastAsia" w:ascii="仿宋_GB2312" w:eastAsia="仿宋_GB2312"/>
          <w:color w:val="auto"/>
          <w:sz w:val="32"/>
          <w:szCs w:val="32"/>
          <w:lang w:val="en-US" w:eastAsia="zh-CN"/>
        </w:rPr>
        <w:t>完善区、镇（街道）、村（社区）三级退役军人服务保障体系，人员到位率达到100%以上。建设区、乡两级枫桥式“退役军人之家”9个。全面落实各项优抚政策，实现优抚对象动态精细管理。每年走访慰问不少于3次，在乡老复员军人、烈军属、残疾军人上门走访率达到100%。加大维护退役军人权益力度，持续开展矛盾问题攻坚化解，进省进京要同比减少40%和50%。深入开展双拥工作，实现省双拥模范区四连冠目标。</w:t>
      </w:r>
    </w:p>
    <w:p w14:paraId="48D84EEF">
      <w:pPr>
        <w:pageBreakBefore w:val="0"/>
        <w:kinsoku/>
        <w:wordWrap/>
        <w:overflowPunct/>
        <w:topLinePunct w:val="0"/>
        <w:bidi w:val="0"/>
        <w:snapToGrid/>
        <w:spacing w:line="240" w:lineRule="auto"/>
        <w:ind w:left="0" w:leftChars="0" w:firstLine="643" w:firstLineChars="200"/>
        <w:rPr>
          <w:rFonts w:hint="eastAsia" w:ascii="仿宋" w:hAnsi="仿宋" w:eastAsia="仿宋"/>
          <w:bCs/>
          <w:sz w:val="32"/>
          <w:szCs w:val="32"/>
          <w:highlight w:val="none"/>
          <w:lang w:eastAsia="zh-CN"/>
        </w:rPr>
      </w:pPr>
      <w:r>
        <w:rPr>
          <w:rFonts w:hint="eastAsia" w:ascii="Times New Roman" w:hAnsi="Times New Roman" w:eastAsia="仿宋_GB2312" w:cs="Times New Roman"/>
          <w:b/>
          <w:bCs/>
          <w:color w:val="000000" w:themeColor="text1"/>
          <w:kern w:val="0"/>
          <w:sz w:val="32"/>
          <w:szCs w:val="32"/>
          <w:lang w:eastAsia="zh-CN"/>
          <w14:textFill>
            <w14:solidFill>
              <w14:schemeClr w14:val="tx1"/>
            </w14:solidFill>
          </w14:textFill>
        </w:rPr>
        <w:t>强化妇儿青少年发展和家庭建设</w:t>
      </w:r>
      <w:r>
        <w:rPr>
          <w:rFonts w:ascii="Times New Roman" w:hAnsi="Times New Roman" w:eastAsia="仿宋_GB2312" w:cs="Times New Roman"/>
          <w:b/>
          <w:bCs/>
          <w:color w:val="000000" w:themeColor="text1"/>
          <w:kern w:val="0"/>
          <w:sz w:val="32"/>
          <w:szCs w:val="32"/>
          <w14:textFill>
            <w14:solidFill>
              <w14:schemeClr w14:val="tx1"/>
            </w14:solidFill>
          </w14:textFill>
        </w:rPr>
        <w:t>。</w:t>
      </w:r>
      <w:r>
        <w:rPr>
          <w:rFonts w:hint="eastAsia" w:ascii="仿宋" w:hAnsi="仿宋" w:eastAsia="仿宋"/>
          <w:bCs/>
          <w:sz w:val="32"/>
          <w:szCs w:val="32"/>
          <w:highlight w:val="none"/>
        </w:rPr>
        <w:t>保障妇女儿童合法权益</w:t>
      </w:r>
      <w:r>
        <w:rPr>
          <w:rFonts w:hint="eastAsia" w:ascii="仿宋" w:hAnsi="仿宋" w:eastAsia="仿宋"/>
          <w:bCs/>
          <w:sz w:val="32"/>
          <w:szCs w:val="32"/>
          <w:highlight w:val="none"/>
          <w:lang w:eastAsia="zh-CN"/>
        </w:rPr>
        <w:t>，</w:t>
      </w:r>
      <w:r>
        <w:rPr>
          <w:rFonts w:hint="eastAsia" w:ascii="仿宋" w:hAnsi="仿宋" w:eastAsia="仿宋"/>
          <w:bCs/>
          <w:sz w:val="32"/>
          <w:szCs w:val="32"/>
          <w:highlight w:val="none"/>
        </w:rPr>
        <w:t>落实男女平等基本国策和儿童优先原则</w:t>
      </w:r>
      <w:r>
        <w:rPr>
          <w:rFonts w:hint="eastAsia" w:ascii="仿宋" w:hAnsi="仿宋" w:eastAsia="仿宋"/>
          <w:bCs/>
          <w:sz w:val="32"/>
          <w:szCs w:val="32"/>
          <w:highlight w:val="none"/>
          <w:lang w:eastAsia="zh-CN"/>
        </w:rPr>
        <w:t>，全面落实中长期青年发展规划。</w:t>
      </w:r>
      <w:r>
        <w:rPr>
          <w:rFonts w:hint="eastAsia" w:ascii="仿宋" w:hAnsi="仿宋" w:eastAsia="仿宋"/>
          <w:bCs/>
          <w:sz w:val="32"/>
          <w:szCs w:val="32"/>
          <w:highlight w:val="none"/>
        </w:rPr>
        <w:t>建立健全农村留守儿童妇女关爱服务体系</w:t>
      </w:r>
      <w:r>
        <w:rPr>
          <w:rFonts w:hint="eastAsia" w:ascii="仿宋" w:hAnsi="仿宋" w:eastAsia="仿宋"/>
          <w:bCs/>
          <w:sz w:val="32"/>
          <w:szCs w:val="32"/>
          <w:highlight w:val="none"/>
          <w:lang w:eastAsia="zh-CN"/>
        </w:rPr>
        <w:t>，</w:t>
      </w:r>
      <w:r>
        <w:rPr>
          <w:rFonts w:hint="eastAsia" w:ascii="仿宋" w:hAnsi="仿宋" w:eastAsia="仿宋"/>
          <w:bCs/>
          <w:sz w:val="32"/>
          <w:szCs w:val="32"/>
          <w:highlight w:val="none"/>
          <w:lang w:val="en-US" w:eastAsia="zh-CN"/>
        </w:rPr>
        <w:t>加强镇村留守儿童家园建设。</w:t>
      </w:r>
      <w:r>
        <w:rPr>
          <w:rFonts w:hint="eastAsia" w:ascii="仿宋" w:hAnsi="仿宋" w:eastAsia="仿宋"/>
          <w:bCs/>
          <w:sz w:val="32"/>
          <w:szCs w:val="32"/>
          <w:highlight w:val="none"/>
        </w:rPr>
        <w:t>加大对妇女儿童权益保护力度，严厉打击侵害妇女合法权益和危害儿童身心健康的违法犯罪行为</w:t>
      </w:r>
      <w:r>
        <w:rPr>
          <w:rFonts w:hint="eastAsia" w:ascii="仿宋" w:hAnsi="仿宋" w:eastAsia="仿宋"/>
          <w:bCs/>
          <w:sz w:val="32"/>
          <w:szCs w:val="32"/>
          <w:highlight w:val="none"/>
          <w:lang w:eastAsia="zh-CN"/>
        </w:rPr>
        <w:t>。</w:t>
      </w:r>
      <w:r>
        <w:rPr>
          <w:rFonts w:hint="eastAsia" w:ascii="仿宋" w:hAnsi="仿宋" w:eastAsia="仿宋"/>
          <w:bCs/>
          <w:sz w:val="32"/>
          <w:szCs w:val="32"/>
          <w:highlight w:val="none"/>
          <w:lang w:val="en-US" w:eastAsia="zh-CN"/>
        </w:rPr>
        <w:t>成立爱民区婚姻家庭纠纷调解委员会，镇（村）街道（社区）婚姻家庭调节站实现全覆盖。</w:t>
      </w:r>
      <w:r>
        <w:rPr>
          <w:rFonts w:hint="eastAsia" w:ascii="仿宋" w:hAnsi="仿宋" w:eastAsia="仿宋"/>
          <w:bCs/>
          <w:sz w:val="32"/>
          <w:szCs w:val="32"/>
          <w:highlight w:val="none"/>
          <w:lang w:eastAsia="zh-CN"/>
        </w:rPr>
        <w:t>加强家庭家教家风建设，</w:t>
      </w:r>
      <w:r>
        <w:rPr>
          <w:rFonts w:hint="eastAsia" w:ascii="仿宋" w:hAnsi="仿宋" w:eastAsia="仿宋"/>
          <w:bCs/>
          <w:sz w:val="32"/>
          <w:szCs w:val="32"/>
          <w:highlight w:val="none"/>
          <w:lang w:val="en-US" w:eastAsia="zh-CN"/>
        </w:rPr>
        <w:t>完善家风家训基地、家长学校等基础设施建设，开展家庭教育巡讲和最美家庭评选活动</w:t>
      </w:r>
      <w:r>
        <w:rPr>
          <w:rFonts w:hint="eastAsia" w:ascii="仿宋" w:hAnsi="仿宋" w:eastAsia="仿宋"/>
          <w:bCs/>
          <w:sz w:val="32"/>
          <w:szCs w:val="32"/>
          <w:highlight w:val="none"/>
          <w:lang w:eastAsia="zh-CN"/>
        </w:rPr>
        <w:t>。充分发挥妇女“半边天”作用。完善青年发展政策体系和工作机制，整合社会资源，形成优良的青年成长环境，引导更多青年在爱民区就业创业置业，争创青年友好试点城区。深入实施省中长期青年发展规划，着力提升青年思想政治素质和创新创业能力，充分发挥青年在建设现代化新爱民中的生力军和突击队作用。</w:t>
      </w:r>
    </w:p>
    <w:p w14:paraId="2AC5C774">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19" w:name="_Toc55593783"/>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第四节　推进健康</w:t>
      </w:r>
      <w:bookmarkEnd w:id="19"/>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和人口均衡发展</w:t>
      </w:r>
    </w:p>
    <w:p w14:paraId="556A075D">
      <w:pPr>
        <w:pageBreakBefore w:val="0"/>
        <w:pBdr>
          <w:bottom w:val="single" w:color="FFFFFF" w:sz="4" w:space="0"/>
        </w:pBdr>
        <w:tabs>
          <w:tab w:val="left" w:pos="312"/>
          <w:tab w:val="left" w:pos="1440"/>
        </w:tabs>
        <w:kinsoku/>
        <w:wordWrap/>
        <w:overflowPunct/>
        <w:topLinePunct w:val="0"/>
        <w:bidi w:val="0"/>
        <w:snapToGrid/>
        <w:spacing w:line="240" w:lineRule="auto"/>
        <w:ind w:left="0" w:leftChars="0" w:firstLine="640" w:firstLineChars="200"/>
        <w:rPr>
          <w:rStyle w:val="20"/>
          <w:rFonts w:hint="eastAsia" w:ascii="仿宋" w:hAnsi="仿宋" w:eastAsia="仿宋" w:cs="Arial"/>
          <w:color w:val="333333"/>
          <w:sz w:val="32"/>
          <w:szCs w:val="32"/>
        </w:rPr>
      </w:pPr>
      <w:bookmarkStart w:id="20" w:name="_Toc55593785"/>
      <w:r>
        <w:rPr>
          <w:rFonts w:hint="eastAsia" w:ascii="仿宋" w:hAnsi="仿宋" w:eastAsia="仿宋"/>
          <w:sz w:val="32"/>
          <w:szCs w:val="32"/>
          <w:lang w:eastAsia="zh-CN"/>
        </w:rPr>
        <w:t>按照健康爱民行动方案要求，</w:t>
      </w:r>
      <w:r>
        <w:rPr>
          <w:rFonts w:ascii="仿宋" w:hAnsi="仿宋" w:eastAsia="仿宋"/>
          <w:sz w:val="32"/>
          <w:szCs w:val="32"/>
        </w:rPr>
        <w:t>组建专家委员会，</w:t>
      </w:r>
      <w:r>
        <w:rPr>
          <w:rFonts w:hint="eastAsia" w:ascii="仿宋" w:hAnsi="仿宋" w:eastAsia="仿宋"/>
          <w:sz w:val="32"/>
          <w:szCs w:val="32"/>
          <w:lang w:eastAsia="zh-CN"/>
        </w:rPr>
        <w:t>落实</w:t>
      </w:r>
      <w:r>
        <w:rPr>
          <w:rFonts w:ascii="仿宋" w:hAnsi="仿宋" w:eastAsia="仿宋"/>
          <w:sz w:val="32"/>
          <w:szCs w:val="32"/>
        </w:rPr>
        <w:t>16项具体任务</w:t>
      </w:r>
      <w:r>
        <w:rPr>
          <w:rFonts w:hint="eastAsia" w:ascii="仿宋" w:hAnsi="仿宋" w:eastAsia="仿宋"/>
          <w:sz w:val="32"/>
          <w:szCs w:val="32"/>
          <w:lang w:eastAsia="zh-CN"/>
        </w:rPr>
        <w:t>。</w:t>
      </w:r>
      <w:r>
        <w:rPr>
          <w:rFonts w:hint="eastAsia" w:ascii="仿宋" w:hAnsi="仿宋" w:eastAsia="仿宋"/>
          <w:bCs/>
          <w:sz w:val="32"/>
          <w:szCs w:val="32"/>
        </w:rPr>
        <w:t>建设</w:t>
      </w:r>
      <w:r>
        <w:rPr>
          <w:rFonts w:hint="eastAsia" w:ascii="仿宋" w:hAnsi="仿宋" w:eastAsia="仿宋"/>
          <w:bCs/>
          <w:sz w:val="32"/>
          <w:szCs w:val="32"/>
          <w:lang w:val="en-US" w:eastAsia="zh-CN"/>
        </w:rPr>
        <w:t>1</w:t>
      </w:r>
      <w:r>
        <w:rPr>
          <w:rFonts w:hint="eastAsia" w:ascii="仿宋" w:hAnsi="仿宋" w:eastAsia="仿宋"/>
          <w:bCs/>
          <w:sz w:val="32"/>
          <w:szCs w:val="32"/>
        </w:rPr>
        <w:t>个区级综合医院，补齐区级公办医疗机构短板，三道关镇及各村10个村卫生室办公用房</w:t>
      </w:r>
      <w:r>
        <w:rPr>
          <w:rFonts w:hint="eastAsia" w:ascii="仿宋" w:hAnsi="仿宋" w:eastAsia="仿宋"/>
          <w:bCs/>
          <w:sz w:val="32"/>
          <w:szCs w:val="32"/>
          <w:lang w:eastAsia="zh-CN"/>
        </w:rPr>
        <w:t>实现</w:t>
      </w:r>
      <w:r>
        <w:rPr>
          <w:rFonts w:hint="eastAsia" w:ascii="仿宋" w:hAnsi="仿宋" w:eastAsia="仿宋"/>
          <w:bCs/>
          <w:sz w:val="32"/>
          <w:szCs w:val="32"/>
        </w:rPr>
        <w:t>村集体化。开展好基本公共卫生服务，建立70个以上家庭医生团队，75%以上</w:t>
      </w:r>
      <w:r>
        <w:rPr>
          <w:rFonts w:hint="eastAsia" w:ascii="仿宋" w:hAnsi="仿宋" w:eastAsia="仿宋"/>
          <w:bCs/>
          <w:sz w:val="32"/>
          <w:szCs w:val="32"/>
          <w:lang w:eastAsia="zh-CN"/>
        </w:rPr>
        <w:t>居民与</w:t>
      </w:r>
      <w:r>
        <w:rPr>
          <w:rFonts w:hint="eastAsia" w:ascii="仿宋" w:hAnsi="仿宋" w:eastAsia="仿宋"/>
          <w:bCs/>
          <w:sz w:val="32"/>
          <w:szCs w:val="32"/>
        </w:rPr>
        <w:t>家庭医生签约</w:t>
      </w:r>
      <w:r>
        <w:rPr>
          <w:rFonts w:hint="eastAsia" w:ascii="仿宋" w:hAnsi="仿宋" w:eastAsia="仿宋"/>
          <w:bCs/>
          <w:sz w:val="32"/>
          <w:szCs w:val="32"/>
          <w:lang w:eastAsia="zh-CN"/>
        </w:rPr>
        <w:t>。</w:t>
      </w:r>
      <w:r>
        <w:rPr>
          <w:rFonts w:ascii="仿宋" w:hAnsi="仿宋" w:eastAsia="仿宋"/>
          <w:sz w:val="32"/>
          <w:szCs w:val="32"/>
        </w:rPr>
        <w:t>到202</w:t>
      </w:r>
      <w:r>
        <w:rPr>
          <w:rFonts w:hint="eastAsia" w:ascii="仿宋" w:hAnsi="仿宋" w:eastAsia="仿宋"/>
          <w:sz w:val="32"/>
          <w:szCs w:val="32"/>
        </w:rPr>
        <w:t>2</w:t>
      </w:r>
      <w:r>
        <w:rPr>
          <w:rFonts w:ascii="仿宋" w:hAnsi="仿宋" w:eastAsia="仿宋"/>
          <w:sz w:val="32"/>
          <w:szCs w:val="32"/>
        </w:rPr>
        <w:t>年至少</w:t>
      </w:r>
      <w:r>
        <w:rPr>
          <w:rFonts w:hint="eastAsia" w:ascii="仿宋" w:hAnsi="仿宋" w:eastAsia="仿宋"/>
          <w:sz w:val="32"/>
          <w:szCs w:val="32"/>
        </w:rPr>
        <w:t>5</w:t>
      </w:r>
      <w:r>
        <w:rPr>
          <w:rFonts w:ascii="仿宋" w:hAnsi="仿宋" w:eastAsia="仿宋"/>
          <w:sz w:val="32"/>
          <w:szCs w:val="32"/>
        </w:rPr>
        <w:t>家</w:t>
      </w:r>
      <w:r>
        <w:rPr>
          <w:rFonts w:hint="eastAsia" w:ascii="仿宋" w:hAnsi="仿宋" w:eastAsia="仿宋"/>
          <w:sz w:val="32"/>
          <w:szCs w:val="32"/>
          <w:lang w:eastAsia="zh-CN"/>
        </w:rPr>
        <w:t>基层</w:t>
      </w:r>
      <w:r>
        <w:rPr>
          <w:rFonts w:ascii="仿宋" w:hAnsi="仿宋" w:eastAsia="仿宋"/>
          <w:sz w:val="32"/>
          <w:szCs w:val="32"/>
        </w:rPr>
        <w:t>卫生机构达到国家“优质服务基层行”基本标准，</w:t>
      </w:r>
      <w:r>
        <w:rPr>
          <w:rFonts w:hint="eastAsia" w:ascii="仿宋" w:hAnsi="仿宋" w:eastAsia="仿宋"/>
          <w:sz w:val="32"/>
          <w:szCs w:val="32"/>
        </w:rPr>
        <w:t>到2024年有2家进入</w:t>
      </w:r>
      <w:r>
        <w:rPr>
          <w:rFonts w:ascii="仿宋" w:hAnsi="仿宋" w:eastAsia="仿宋"/>
          <w:sz w:val="32"/>
          <w:szCs w:val="32"/>
        </w:rPr>
        <w:t>推荐标准</w:t>
      </w:r>
      <w:r>
        <w:rPr>
          <w:rFonts w:hint="eastAsia" w:ascii="仿宋" w:hAnsi="仿宋" w:eastAsia="仿宋"/>
          <w:sz w:val="32"/>
          <w:szCs w:val="32"/>
        </w:rPr>
        <w:t>行列</w:t>
      </w:r>
      <w:r>
        <w:rPr>
          <w:rFonts w:ascii="仿宋" w:hAnsi="仿宋" w:eastAsia="仿宋"/>
          <w:sz w:val="32"/>
          <w:szCs w:val="32"/>
        </w:rPr>
        <w:t>。</w:t>
      </w:r>
      <w:r>
        <w:rPr>
          <w:rFonts w:hint="eastAsia" w:ascii="仿宋" w:hAnsi="仿宋" w:eastAsia="仿宋"/>
          <w:bCs/>
          <w:sz w:val="32"/>
          <w:szCs w:val="32"/>
          <w:lang w:eastAsia="zh-CN"/>
        </w:rPr>
        <w:t>到</w:t>
      </w:r>
      <w:r>
        <w:rPr>
          <w:rFonts w:hint="eastAsia" w:ascii="仿宋" w:hAnsi="仿宋" w:eastAsia="仿宋"/>
          <w:bCs/>
          <w:sz w:val="32"/>
          <w:szCs w:val="32"/>
          <w:lang w:val="en-US" w:eastAsia="zh-CN"/>
        </w:rPr>
        <w:t>2025年，</w:t>
      </w:r>
      <w:r>
        <w:rPr>
          <w:rFonts w:ascii="仿宋" w:hAnsi="仿宋" w:eastAsia="仿宋"/>
          <w:bCs/>
          <w:sz w:val="32"/>
          <w:szCs w:val="32"/>
        </w:rPr>
        <w:t>100%社区卫生服务机构、</w:t>
      </w:r>
      <w:r>
        <w:rPr>
          <w:rFonts w:hint="eastAsia" w:ascii="仿宋" w:hAnsi="仿宋" w:eastAsia="仿宋"/>
          <w:bCs/>
          <w:sz w:val="32"/>
          <w:szCs w:val="32"/>
          <w:lang w:eastAsia="zh-CN"/>
        </w:rPr>
        <w:t>镇</w:t>
      </w:r>
      <w:r>
        <w:rPr>
          <w:rFonts w:ascii="仿宋" w:hAnsi="仿宋" w:eastAsia="仿宋"/>
          <w:bCs/>
          <w:sz w:val="32"/>
          <w:szCs w:val="32"/>
        </w:rPr>
        <w:t>卫生院和</w:t>
      </w:r>
      <w:r>
        <w:rPr>
          <w:rFonts w:hint="eastAsia" w:ascii="仿宋" w:hAnsi="仿宋" w:eastAsia="仿宋"/>
          <w:bCs/>
          <w:sz w:val="32"/>
          <w:szCs w:val="32"/>
        </w:rPr>
        <w:t>100</w:t>
      </w:r>
      <w:r>
        <w:rPr>
          <w:rFonts w:ascii="仿宋" w:hAnsi="仿宋" w:eastAsia="仿宋"/>
          <w:bCs/>
          <w:sz w:val="32"/>
          <w:szCs w:val="32"/>
        </w:rPr>
        <w:t>%村卫生室具备中医药服务</w:t>
      </w:r>
      <w:r>
        <w:rPr>
          <w:rFonts w:hint="eastAsia" w:ascii="仿宋" w:hAnsi="仿宋" w:eastAsia="仿宋"/>
          <w:bCs/>
          <w:sz w:val="32"/>
          <w:szCs w:val="32"/>
          <w:lang w:eastAsia="zh-CN"/>
        </w:rPr>
        <w:t>功能</w:t>
      </w:r>
      <w:r>
        <w:rPr>
          <w:rFonts w:hint="eastAsia" w:ascii="仿宋" w:hAnsi="仿宋" w:eastAsia="仿宋"/>
          <w:bCs/>
          <w:sz w:val="32"/>
          <w:szCs w:val="32"/>
        </w:rPr>
        <w:t>。</w:t>
      </w:r>
      <w:r>
        <w:rPr>
          <w:rFonts w:hint="eastAsia" w:ascii="仿宋" w:hAnsi="仿宋" w:eastAsia="仿宋"/>
          <w:sz w:val="32"/>
          <w:szCs w:val="32"/>
        </w:rPr>
        <w:t>成立计划生育协会，</w:t>
      </w:r>
      <w:r>
        <w:rPr>
          <w:rFonts w:hint="eastAsia" w:ascii="仿宋" w:hAnsi="仿宋" w:eastAsia="仿宋" w:cs="宋体"/>
          <w:color w:val="000000"/>
          <w:kern w:val="0"/>
          <w:sz w:val="32"/>
          <w:szCs w:val="32"/>
        </w:rPr>
        <w:t>宣传贯彻人口计划生育法</w:t>
      </w:r>
      <w:r>
        <w:rPr>
          <w:rFonts w:hint="eastAsia" w:ascii="仿宋" w:hAnsi="仿宋" w:eastAsia="仿宋" w:cs="宋体"/>
          <w:color w:val="000000"/>
          <w:kern w:val="0"/>
          <w:sz w:val="32"/>
          <w:szCs w:val="32"/>
          <w:lang w:eastAsia="zh-CN"/>
        </w:rPr>
        <w:t>和</w:t>
      </w:r>
      <w:r>
        <w:rPr>
          <w:rFonts w:hint="eastAsia" w:ascii="仿宋" w:hAnsi="仿宋" w:eastAsia="仿宋" w:cs="宋体"/>
          <w:color w:val="000000"/>
          <w:kern w:val="0"/>
          <w:sz w:val="32"/>
          <w:szCs w:val="32"/>
        </w:rPr>
        <w:t>二孩政策</w:t>
      </w: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rPr>
        <w:t>开展关爱计生家庭服务，</w:t>
      </w:r>
      <w:r>
        <w:rPr>
          <w:rFonts w:hint="eastAsia" w:ascii="仿宋" w:hAnsi="仿宋" w:eastAsia="仿宋" w:cs="宋体"/>
          <w:color w:val="000000"/>
          <w:kern w:val="0"/>
          <w:sz w:val="32"/>
          <w:szCs w:val="32"/>
          <w:lang w:eastAsia="zh-CN"/>
        </w:rPr>
        <w:t>落实</w:t>
      </w:r>
      <w:r>
        <w:rPr>
          <w:rFonts w:hint="eastAsia" w:ascii="仿宋" w:hAnsi="仿宋" w:eastAsia="仿宋" w:cs="宋体"/>
          <w:color w:val="000000"/>
          <w:kern w:val="0"/>
          <w:sz w:val="32"/>
          <w:szCs w:val="32"/>
        </w:rPr>
        <w:t>计生家庭奖励扶助政策。</w:t>
      </w:r>
      <w:r>
        <w:rPr>
          <w:rFonts w:hint="eastAsia" w:ascii="仿宋" w:hAnsi="仿宋" w:eastAsia="仿宋"/>
          <w:sz w:val="32"/>
          <w:szCs w:val="32"/>
        </w:rPr>
        <w:t>加强人口监测和分析</w:t>
      </w:r>
      <w:r>
        <w:rPr>
          <w:rFonts w:hint="eastAsia" w:ascii="仿宋" w:hAnsi="仿宋" w:eastAsia="仿宋" w:cs="宋体"/>
          <w:color w:val="000000"/>
          <w:kern w:val="0"/>
          <w:sz w:val="32"/>
          <w:szCs w:val="32"/>
        </w:rPr>
        <w:t>。</w:t>
      </w:r>
      <w:r>
        <w:rPr>
          <w:rFonts w:hint="eastAsia" w:ascii="仿宋" w:hAnsi="仿宋" w:eastAsia="仿宋" w:cs="宋体"/>
          <w:color w:val="000000"/>
          <w:kern w:val="0"/>
          <w:sz w:val="32"/>
          <w:szCs w:val="32"/>
          <w:lang w:eastAsia="zh-CN"/>
        </w:rPr>
        <w:t>普及</w:t>
      </w:r>
      <w:r>
        <w:rPr>
          <w:rFonts w:hint="eastAsia" w:ascii="仿宋" w:hAnsi="仿宋" w:eastAsia="仿宋" w:cs="宋体"/>
          <w:color w:val="000000"/>
          <w:kern w:val="0"/>
          <w:sz w:val="32"/>
          <w:szCs w:val="32"/>
        </w:rPr>
        <w:t>公共健康和优生优育</w:t>
      </w:r>
      <w:r>
        <w:rPr>
          <w:rFonts w:hint="eastAsia" w:ascii="仿宋" w:hAnsi="仿宋" w:eastAsia="仿宋" w:cs="宋体"/>
          <w:color w:val="000000"/>
          <w:kern w:val="0"/>
          <w:sz w:val="32"/>
          <w:szCs w:val="32"/>
          <w:lang w:eastAsia="zh-CN"/>
        </w:rPr>
        <w:t>知识</w:t>
      </w:r>
      <w:r>
        <w:rPr>
          <w:rFonts w:hint="eastAsia" w:ascii="仿宋" w:hAnsi="仿宋" w:eastAsia="仿宋" w:cs="宋体"/>
          <w:color w:val="000000"/>
          <w:kern w:val="0"/>
          <w:sz w:val="32"/>
          <w:szCs w:val="32"/>
        </w:rPr>
        <w:t>，</w:t>
      </w:r>
      <w:r>
        <w:rPr>
          <w:rFonts w:ascii="仿宋" w:hAnsi="仿宋" w:eastAsia="仿宋"/>
          <w:sz w:val="32"/>
          <w:szCs w:val="32"/>
        </w:rPr>
        <w:t>健康知识普及率达到90%，知晓率达到80%以上。</w:t>
      </w:r>
      <w:r>
        <w:rPr>
          <w:rFonts w:hint="eastAsia" w:ascii="仿宋" w:hAnsi="仿宋" w:eastAsia="仿宋" w:cs="宋体"/>
          <w:color w:val="000000"/>
          <w:kern w:val="0"/>
          <w:sz w:val="32"/>
          <w:szCs w:val="32"/>
        </w:rPr>
        <w:t>降低出生缺陷和高危妊娠发生风险</w:t>
      </w:r>
      <w:r>
        <w:rPr>
          <w:rFonts w:hint="eastAsia" w:ascii="仿宋" w:hAnsi="仿宋" w:eastAsia="仿宋" w:cs="宋体"/>
          <w:color w:val="000000"/>
          <w:kern w:val="0"/>
          <w:sz w:val="32"/>
          <w:szCs w:val="32"/>
          <w:lang w:eastAsia="zh-CN"/>
        </w:rPr>
        <w:t>。</w:t>
      </w:r>
      <w:r>
        <w:rPr>
          <w:rFonts w:ascii="仿宋" w:hAnsi="仿宋" w:eastAsia="仿宋"/>
          <w:sz w:val="32"/>
          <w:szCs w:val="32"/>
        </w:rPr>
        <w:t>按照国家促进3岁以下婴幼儿照护服务要求，提供指导服务。</w:t>
      </w:r>
      <w:r>
        <w:rPr>
          <w:rFonts w:hint="eastAsia" w:ascii="仿宋" w:hAnsi="仿宋" w:eastAsia="仿宋"/>
          <w:sz w:val="32"/>
          <w:szCs w:val="32"/>
          <w:lang w:eastAsia="zh-CN"/>
        </w:rPr>
        <w:t>提高</w:t>
      </w:r>
      <w:r>
        <w:rPr>
          <w:rFonts w:hint="eastAsia" w:ascii="仿宋" w:hAnsi="仿宋" w:eastAsia="仿宋"/>
          <w:sz w:val="32"/>
          <w:szCs w:val="32"/>
        </w:rPr>
        <w:t>疾病预防控制</w:t>
      </w:r>
      <w:r>
        <w:rPr>
          <w:rFonts w:hint="eastAsia" w:ascii="仿宋" w:hAnsi="仿宋" w:eastAsia="仿宋"/>
          <w:sz w:val="32"/>
          <w:szCs w:val="32"/>
          <w:lang w:eastAsia="zh-CN"/>
        </w:rPr>
        <w:t>水平</w:t>
      </w:r>
      <w:r>
        <w:rPr>
          <w:rFonts w:hint="eastAsia" w:ascii="仿宋" w:hAnsi="仿宋" w:eastAsia="仿宋"/>
          <w:sz w:val="32"/>
          <w:szCs w:val="32"/>
        </w:rPr>
        <w:t>，</w:t>
      </w:r>
      <w:r>
        <w:rPr>
          <w:rFonts w:hint="eastAsia" w:ascii="仿宋" w:hAnsi="仿宋" w:eastAsia="仿宋"/>
          <w:bCs/>
          <w:sz w:val="32"/>
          <w:szCs w:val="32"/>
        </w:rPr>
        <w:t>辖区内二级以上医疗机构全部设立疫苗接种机构，</w:t>
      </w:r>
      <w:r>
        <w:rPr>
          <w:rFonts w:ascii="仿宋" w:hAnsi="仿宋" w:eastAsia="仿宋"/>
          <w:bCs/>
          <w:sz w:val="32"/>
          <w:szCs w:val="32"/>
        </w:rPr>
        <w:t>建立多点触发监测预警机制</w:t>
      </w:r>
      <w:r>
        <w:rPr>
          <w:rFonts w:hint="eastAsia" w:ascii="仿宋" w:hAnsi="仿宋" w:eastAsia="仿宋"/>
          <w:bCs/>
          <w:sz w:val="32"/>
          <w:szCs w:val="32"/>
        </w:rPr>
        <w:t>。</w:t>
      </w:r>
    </w:p>
    <w:p w14:paraId="23E70139">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第五节　加强基层社会治理</w:t>
      </w:r>
      <w:bookmarkEnd w:id="20"/>
    </w:p>
    <w:p w14:paraId="2DD7D332">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仿宋_GB2312" w:hAnsi="Times New Roman" w:eastAsia="仿宋_GB2312" w:cs="Times New Roman"/>
          <w:b w:val="0"/>
          <w:bCs w:val="0"/>
          <w:kern w:val="2"/>
          <w:sz w:val="32"/>
          <w:szCs w:val="32"/>
          <w:lang w:val="en-US" w:eastAsia="zh-CN" w:bidi="ar-SA"/>
        </w:rPr>
      </w:pPr>
      <w:bookmarkStart w:id="21" w:name="_Toc55593790"/>
      <w:r>
        <w:rPr>
          <w:rFonts w:hint="default" w:ascii="仿宋_GB2312" w:hAnsi="Times New Roman" w:eastAsia="仿宋_GB2312" w:cs="Times New Roman"/>
          <w:b w:val="0"/>
          <w:bCs w:val="0"/>
          <w:kern w:val="2"/>
          <w:sz w:val="32"/>
          <w:szCs w:val="32"/>
          <w:lang w:val="en-US" w:eastAsia="zh-CN" w:bidi="ar-SA"/>
        </w:rPr>
        <w:t>完善社区治理体系</w:t>
      </w:r>
      <w:r>
        <w:rPr>
          <w:rFonts w:hint="eastAsia" w:ascii="仿宋_GB2312"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推进城乡社区服务一体化，打造多元参与、共建共享的</w:t>
      </w:r>
      <w:r>
        <w:rPr>
          <w:rFonts w:hint="eastAsia" w:ascii="仿宋_GB2312" w:hAnsi="Times New Roman" w:eastAsia="仿宋_GB2312" w:cs="Times New Roman"/>
          <w:b w:val="0"/>
          <w:bCs w:val="0"/>
          <w:kern w:val="2"/>
          <w:sz w:val="32"/>
          <w:szCs w:val="32"/>
          <w:lang w:val="en-US" w:eastAsia="zh-CN" w:bidi="ar-SA"/>
        </w:rPr>
        <w:t>基层</w:t>
      </w:r>
      <w:r>
        <w:rPr>
          <w:rFonts w:hint="default" w:ascii="仿宋_GB2312" w:hAnsi="Times New Roman" w:eastAsia="仿宋_GB2312" w:cs="Times New Roman"/>
          <w:b w:val="0"/>
          <w:bCs w:val="0"/>
          <w:kern w:val="2"/>
          <w:sz w:val="32"/>
          <w:szCs w:val="32"/>
          <w:lang w:val="en-US" w:eastAsia="zh-CN" w:bidi="ar-SA"/>
        </w:rPr>
        <w:t>社会治理模式。</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新建千米社区3个，装修改造达标社区1个，建立街道社会工作服务站7个。</w:t>
      </w:r>
      <w:r>
        <w:rPr>
          <w:rFonts w:hint="default" w:ascii="仿宋_GB2312" w:hAnsi="Times New Roman" w:eastAsia="仿宋_GB2312" w:cs="Times New Roman"/>
          <w:b w:val="0"/>
          <w:bCs w:val="0"/>
          <w:kern w:val="2"/>
          <w:sz w:val="32"/>
          <w:szCs w:val="32"/>
          <w:lang w:val="en-US" w:eastAsia="zh-CN" w:bidi="ar-SA"/>
        </w:rPr>
        <w:t>建立村（居）党组织、村（居）委会、社会组织、业主委员会、物业服务企业多方联动服务机制，促进政府治理与村（居）民自治良性互动。</w:t>
      </w:r>
      <w:r>
        <w:rPr>
          <w:rFonts w:hint="default" w:ascii="仿宋_GB2312" w:hAnsi="Times New Roman" w:eastAsia="仿宋_GB2312" w:cs="Times New Roman"/>
          <w:b w:val="0"/>
          <w:bCs w:val="0"/>
          <w:color w:val="000000" w:themeColor="text1"/>
          <w:kern w:val="2"/>
          <w:sz w:val="32"/>
          <w:szCs w:val="32"/>
          <w:lang w:val="en-US" w:eastAsia="zh-CN" w:bidi="ar-SA"/>
          <w14:textFill>
            <w14:solidFill>
              <w14:schemeClr w14:val="tx1"/>
            </w14:solidFill>
          </w14:textFill>
        </w:rPr>
        <w:t>推动社区综合服务平台向村延伸。</w:t>
      </w:r>
      <w:r>
        <w:rPr>
          <w:rFonts w:hint="default" w:ascii="仿宋_GB2312" w:hAnsi="Times New Roman" w:eastAsia="仿宋_GB2312" w:cs="Times New Roman"/>
          <w:b w:val="0"/>
          <w:bCs w:val="0"/>
          <w:kern w:val="2"/>
          <w:sz w:val="32"/>
          <w:szCs w:val="32"/>
          <w:lang w:val="en-US" w:eastAsia="zh-CN" w:bidi="ar-SA"/>
        </w:rPr>
        <w:t>健全党组织领导的村民自治机制，探索新形势下农村村务公开新路径</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在全</w:t>
      </w:r>
      <w:r>
        <w:rPr>
          <w:rFonts w:hint="eastAsia" w:ascii="仿宋_GB2312" w:hAnsi="Times New Roman" w:eastAsia="仿宋_GB2312" w:cs="Times New Roman"/>
          <w:b w:val="0"/>
          <w:bCs w:val="0"/>
          <w:kern w:val="2"/>
          <w:sz w:val="32"/>
          <w:szCs w:val="32"/>
          <w:lang w:val="en-US" w:eastAsia="zh-CN" w:bidi="ar-SA"/>
        </w:rPr>
        <w:t>区12个</w:t>
      </w:r>
      <w:r>
        <w:rPr>
          <w:rFonts w:hint="default" w:ascii="仿宋_GB2312" w:hAnsi="Times New Roman" w:eastAsia="仿宋_GB2312" w:cs="Times New Roman"/>
          <w:b w:val="0"/>
          <w:bCs w:val="0"/>
          <w:kern w:val="2"/>
          <w:sz w:val="32"/>
          <w:szCs w:val="32"/>
          <w:lang w:val="en-US" w:eastAsia="zh-CN" w:bidi="ar-SA"/>
        </w:rPr>
        <w:t>村</w:t>
      </w:r>
      <w:r>
        <w:rPr>
          <w:rFonts w:hint="eastAsia" w:ascii="仿宋_GB2312" w:hAnsi="Times New Roman" w:eastAsia="仿宋_GB2312" w:cs="Times New Roman"/>
          <w:b w:val="0"/>
          <w:bCs w:val="0"/>
          <w:kern w:val="2"/>
          <w:sz w:val="32"/>
          <w:szCs w:val="32"/>
          <w:lang w:val="en-US" w:eastAsia="zh-CN" w:bidi="ar-SA"/>
        </w:rPr>
        <w:t>实现</w:t>
      </w:r>
      <w:r>
        <w:rPr>
          <w:rFonts w:hint="default" w:ascii="仿宋_GB2312" w:hAnsi="Times New Roman" w:eastAsia="仿宋_GB2312" w:cs="Times New Roman"/>
          <w:b w:val="0"/>
          <w:bCs w:val="0"/>
          <w:kern w:val="2"/>
          <w:sz w:val="32"/>
          <w:szCs w:val="32"/>
          <w:lang w:val="en-US" w:eastAsia="zh-CN" w:bidi="ar-SA"/>
        </w:rPr>
        <w:t>村务监督委员会全覆盖</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村规民约行政村全覆盖。推动基本公共服务</w:t>
      </w:r>
      <w:r>
        <w:rPr>
          <w:rFonts w:hint="eastAsia" w:ascii="仿宋_GB2312" w:hAnsi="Times New Roman" w:eastAsia="仿宋_GB2312" w:cs="Times New Roman"/>
          <w:b w:val="0"/>
          <w:bCs w:val="0"/>
          <w:kern w:val="2"/>
          <w:sz w:val="32"/>
          <w:szCs w:val="32"/>
          <w:lang w:val="en-US" w:eastAsia="zh-CN" w:bidi="ar-SA"/>
        </w:rPr>
        <w:t>全</w:t>
      </w:r>
      <w:r>
        <w:rPr>
          <w:rFonts w:hint="default" w:ascii="仿宋_GB2312" w:hAnsi="Times New Roman" w:eastAsia="仿宋_GB2312" w:cs="Times New Roman"/>
          <w:b w:val="0"/>
          <w:bCs w:val="0"/>
          <w:kern w:val="2"/>
          <w:sz w:val="32"/>
          <w:szCs w:val="32"/>
          <w:lang w:val="en-US" w:eastAsia="zh-CN" w:bidi="ar-SA"/>
        </w:rPr>
        <w:t>覆盖</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提高农村社区服务水平。健全完善社区服务准入制度，规范社区盖章证明事项。</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推进社区硬件建设，回收社区配套用房3160平方米，装修改造已回收的社区配套用房2158平方米，用于社区建设。</w:t>
      </w:r>
      <w:r>
        <w:rPr>
          <w:rFonts w:hint="default" w:ascii="仿宋_GB2312" w:hAnsi="Times New Roman" w:eastAsia="仿宋_GB2312" w:cs="Times New Roman"/>
          <w:b w:val="0"/>
          <w:bCs w:val="0"/>
          <w:kern w:val="2"/>
          <w:sz w:val="32"/>
          <w:szCs w:val="32"/>
          <w:lang w:val="en-US" w:eastAsia="zh-CN" w:bidi="ar-SA"/>
        </w:rPr>
        <w:t>探索和推行</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1+2+3+4+N</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的社区服务模式，逐步实现</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一刻钟</w:t>
      </w:r>
      <w:r>
        <w:rPr>
          <w:rFonts w:hint="eastAsia" w:ascii="仿宋_GB2312" w:hAnsi="Times New Roman" w:eastAsia="仿宋_GB2312" w:cs="Times New Roman"/>
          <w:b w:val="0"/>
          <w:bCs w:val="0"/>
          <w:kern w:val="2"/>
          <w:sz w:val="32"/>
          <w:szCs w:val="32"/>
          <w:lang w:val="en-US" w:eastAsia="zh-CN" w:bidi="ar-SA"/>
        </w:rPr>
        <w:t>”</w:t>
      </w:r>
      <w:r>
        <w:rPr>
          <w:rFonts w:hint="default" w:ascii="仿宋_GB2312" w:hAnsi="Times New Roman" w:eastAsia="仿宋_GB2312" w:cs="Times New Roman"/>
          <w:b w:val="0"/>
          <w:bCs w:val="0"/>
          <w:kern w:val="2"/>
          <w:sz w:val="32"/>
          <w:szCs w:val="32"/>
          <w:lang w:val="en-US" w:eastAsia="zh-CN" w:bidi="ar-SA"/>
        </w:rPr>
        <w:t>社区服务圈全覆盖。</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加强</w:t>
      </w:r>
      <w:r>
        <w:rPr>
          <w:rFonts w:hint="eastAsia" w:ascii="仿宋_GB2312" w:hAnsi="仿宋_GB2312" w:eastAsia="仿宋_GB2312" w:cs="仿宋_GB2312"/>
          <w:color w:val="000000" w:themeColor="text1"/>
          <w:kern w:val="0"/>
          <w:sz w:val="32"/>
          <w:szCs w:val="32"/>
          <w14:textFill>
            <w14:solidFill>
              <w14:schemeClr w14:val="tx1"/>
            </w14:solidFill>
          </w14:textFill>
        </w:rPr>
        <w:t>智慧社区建设，</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以</w:t>
      </w:r>
      <w:r>
        <w:rPr>
          <w:rFonts w:hint="eastAsia" w:ascii="仿宋_GB2312" w:hAnsi="仿宋_GB2312" w:eastAsia="仿宋_GB2312" w:cs="仿宋_GB2312"/>
          <w:color w:val="000000" w:themeColor="text1"/>
          <w:kern w:val="0"/>
          <w:sz w:val="32"/>
          <w:szCs w:val="32"/>
          <w14:textFill>
            <w14:solidFill>
              <w14:schemeClr w14:val="tx1"/>
            </w14:solidFill>
          </w14:textFill>
        </w:rPr>
        <w:t>北山街道省</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级</w:t>
      </w:r>
      <w:r>
        <w:rPr>
          <w:rFonts w:hint="eastAsia" w:ascii="仿宋_GB2312" w:hAnsi="仿宋_GB2312" w:eastAsia="仿宋_GB2312" w:cs="仿宋_GB2312"/>
          <w:color w:val="000000" w:themeColor="text1"/>
          <w:kern w:val="0"/>
          <w:sz w:val="32"/>
          <w:szCs w:val="32"/>
          <w14:textFill>
            <w14:solidFill>
              <w14:schemeClr w14:val="tx1"/>
            </w14:solidFill>
          </w14:textFill>
        </w:rPr>
        <w:t>试点</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为典范</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引导</w:t>
      </w:r>
      <w:r>
        <w:rPr>
          <w:rFonts w:hint="eastAsia" w:ascii="仿宋_GB2312" w:hAnsi="仿宋_GB2312" w:eastAsia="仿宋_GB2312" w:cs="仿宋_GB2312"/>
          <w:color w:val="000000" w:themeColor="text1"/>
          <w:kern w:val="0"/>
          <w:sz w:val="32"/>
          <w:szCs w:val="32"/>
          <w14:textFill>
            <w14:solidFill>
              <w14:schemeClr w14:val="tx1"/>
            </w14:solidFill>
          </w14:textFill>
        </w:rPr>
        <w:t>提升社区治理和居民服务的智能化水平。</w:t>
      </w:r>
    </w:p>
    <w:p w14:paraId="0D346B2A">
      <w:pPr>
        <w:keepNext w:val="0"/>
        <w:keepLines w:val="0"/>
        <w:pageBreakBefore w:val="0"/>
        <w:widowControl w:val="0"/>
        <w:kinsoku/>
        <w:wordWrap/>
        <w:overflowPunct/>
        <w:topLinePunct w:val="0"/>
        <w:autoSpaceDE/>
        <w:autoSpaceDN/>
        <w:bidi w:val="0"/>
        <w:adjustRightInd w:val="0"/>
        <w:snapToGrid/>
        <w:spacing w:line="240" w:lineRule="auto"/>
        <w:ind w:left="0" w:leftChars="0" w:firstLine="640" w:firstLineChars="200"/>
        <w:textAlignment w:val="auto"/>
        <w:rPr>
          <w:rFonts w:hint="eastAsia" w:ascii="仿宋_GB2312" w:hAnsi="仿宋_GB2312" w:eastAsia="仿宋_GB2312" w:cs="仿宋_GB2312"/>
          <w:b w:val="0"/>
          <w:bCs w:val="0"/>
          <w:kern w:val="0"/>
          <w:sz w:val="32"/>
          <w:szCs w:val="32"/>
        </w:rPr>
      </w:pPr>
      <w:r>
        <w:rPr>
          <w:rFonts w:hint="default" w:ascii="仿宋_GB2312" w:hAnsi="Times New Roman" w:eastAsia="仿宋_GB2312" w:cs="Times New Roman"/>
          <w:b w:val="0"/>
          <w:bCs w:val="0"/>
          <w:kern w:val="2"/>
          <w:sz w:val="32"/>
          <w:szCs w:val="32"/>
          <w:lang w:val="en-US" w:eastAsia="zh-CN" w:bidi="ar-SA"/>
        </w:rPr>
        <w:t>加快构建政社分开、权责明确、依法自治的社会组织管理体制</w:t>
      </w:r>
      <w:r>
        <w:rPr>
          <w:rFonts w:hint="eastAsia" w:ascii="仿宋_GB2312" w:hAnsi="Times New Roman" w:eastAsia="仿宋_GB2312" w:cs="Times New Roman"/>
          <w:b w:val="0"/>
          <w:bCs w:val="0"/>
          <w:kern w:val="2"/>
          <w:sz w:val="32"/>
          <w:szCs w:val="32"/>
          <w:lang w:val="en-US" w:eastAsia="zh-CN" w:bidi="ar-SA"/>
        </w:rPr>
        <w:t>。加大监管力度，培育扶持</w:t>
      </w:r>
      <w:r>
        <w:rPr>
          <w:rFonts w:hint="default" w:ascii="仿宋_GB2312" w:hAnsi="Times New Roman" w:eastAsia="仿宋_GB2312" w:cs="Times New Roman"/>
          <w:b w:val="0"/>
          <w:bCs w:val="0"/>
          <w:kern w:val="2"/>
          <w:sz w:val="32"/>
          <w:szCs w:val="32"/>
          <w:lang w:val="en-US" w:eastAsia="zh-CN" w:bidi="ar-SA"/>
        </w:rPr>
        <w:t>城乡社区服务类、公益慈善类、行业协会商会类、科技类和社会智库类</w:t>
      </w:r>
      <w:r>
        <w:rPr>
          <w:rFonts w:hint="eastAsia" w:ascii="仿宋_GB2312" w:hAnsi="Times New Roman" w:eastAsia="仿宋_GB2312" w:cs="Times New Roman"/>
          <w:b w:val="0"/>
          <w:bCs w:val="0"/>
          <w:kern w:val="2"/>
          <w:sz w:val="32"/>
          <w:szCs w:val="32"/>
          <w:lang w:val="en-US" w:eastAsia="zh-CN" w:bidi="ar-SA"/>
        </w:rPr>
        <w:t>5</w:t>
      </w:r>
      <w:r>
        <w:rPr>
          <w:rFonts w:hint="default" w:ascii="仿宋_GB2312" w:hAnsi="Times New Roman" w:eastAsia="仿宋_GB2312" w:cs="Times New Roman"/>
          <w:b w:val="0"/>
          <w:bCs w:val="0"/>
          <w:kern w:val="2"/>
          <w:sz w:val="32"/>
          <w:szCs w:val="32"/>
          <w:lang w:val="en-US" w:eastAsia="zh-CN" w:bidi="ar-SA"/>
        </w:rPr>
        <w:t>类社会组织</w:t>
      </w:r>
      <w:r>
        <w:rPr>
          <w:rFonts w:hint="eastAsia" w:ascii="仿宋_GB2312" w:hAnsi="Times New Roman" w:eastAsia="仿宋_GB2312" w:cs="Times New Roman"/>
          <w:b w:val="0"/>
          <w:bCs w:val="0"/>
          <w:kern w:val="2"/>
          <w:sz w:val="32"/>
          <w:szCs w:val="32"/>
          <w:lang w:val="en-US" w:eastAsia="zh-CN" w:bidi="ar-SA"/>
        </w:rPr>
        <w:t>。壮大社会工作者队伍，推进社会工作职业化、专业化</w:t>
      </w:r>
      <w:r>
        <w:rPr>
          <w:rFonts w:hint="eastAsia" w:ascii="仿宋_GB2312" w:eastAsia="仿宋_GB2312" w:cs="Times New Roman"/>
          <w:b w:val="0"/>
          <w:bCs w:val="0"/>
          <w:kern w:val="2"/>
          <w:sz w:val="32"/>
          <w:szCs w:val="32"/>
          <w:lang w:val="en-US" w:eastAsia="zh-CN" w:bidi="ar-SA"/>
        </w:rPr>
        <w:t>。</w:t>
      </w:r>
      <w:r>
        <w:rPr>
          <w:rFonts w:hint="eastAsia" w:ascii="仿宋_GB2312" w:hAnsi="Times New Roman" w:eastAsia="仿宋_GB2312" w:cs="Times New Roman"/>
          <w:b w:val="0"/>
          <w:bCs w:val="0"/>
          <w:kern w:val="2"/>
          <w:sz w:val="32"/>
          <w:szCs w:val="32"/>
          <w:lang w:val="en-US" w:eastAsia="zh-CN" w:bidi="ar-SA"/>
        </w:rPr>
        <w:t>加强对政府购买服务管理，规范工作流程和项目监管。</w:t>
      </w:r>
    </w:p>
    <w:p w14:paraId="648A209B">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第六节　</w:t>
      </w:r>
      <w:bookmarkEnd w:id="21"/>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全面提高公共安全保障</w:t>
      </w:r>
    </w:p>
    <w:p w14:paraId="231AF0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全力抓好常态化疫情防控。</w:t>
      </w:r>
      <w:r>
        <w:rPr>
          <w:rFonts w:hint="eastAsia" w:ascii="仿宋_GB2312" w:hAnsi="仿宋_GB2312" w:eastAsia="仿宋_GB2312" w:cs="仿宋_GB2312"/>
          <w:sz w:val="32"/>
          <w:szCs w:val="32"/>
          <w:lang w:val="en-US" w:eastAsia="zh-CN"/>
        </w:rPr>
        <w:t>时刻绷紧疫情防控这根弦，外防输入、内防反弹，坚决守护人民群众生命健康。</w:t>
      </w:r>
      <w:r>
        <w:rPr>
          <w:rFonts w:hint="eastAsia" w:ascii="仿宋_GB2312" w:hAnsi="仿宋_GB2312" w:eastAsia="仿宋_GB2312" w:cs="仿宋_GB2312"/>
          <w:b w:val="0"/>
          <w:bCs w:val="0"/>
          <w:sz w:val="32"/>
          <w:szCs w:val="32"/>
          <w:lang w:val="en-US" w:eastAsia="zh-CN"/>
        </w:rPr>
        <w:t>落实流程标准。</w:t>
      </w:r>
      <w:r>
        <w:rPr>
          <w:rFonts w:hint="eastAsia" w:ascii="仿宋_GB2312" w:hAnsi="仿宋_GB2312" w:eastAsia="仿宋_GB2312" w:cs="仿宋_GB2312"/>
          <w:sz w:val="32"/>
          <w:szCs w:val="32"/>
          <w:lang w:val="en-US" w:eastAsia="zh-CN"/>
        </w:rPr>
        <w:t>强化责任意识，常抓不懈，确保防疫工作无死角、无遗漏，实现疫情防控自觉高效“精密运转”。</w:t>
      </w:r>
      <w:r>
        <w:rPr>
          <w:rFonts w:hint="eastAsia" w:ascii="仿宋_GB2312" w:hAnsi="仿宋_GB2312" w:eastAsia="仿宋_GB2312" w:cs="仿宋_GB2312"/>
          <w:b w:val="0"/>
          <w:bCs w:val="0"/>
          <w:sz w:val="32"/>
          <w:szCs w:val="32"/>
          <w:lang w:val="en-US" w:eastAsia="zh-CN"/>
        </w:rPr>
        <w:t>抓实防控重点。</w:t>
      </w:r>
      <w:r>
        <w:rPr>
          <w:rFonts w:hint="eastAsia" w:ascii="仿宋_GB2312" w:hAnsi="仿宋_GB2312" w:eastAsia="仿宋_GB2312" w:cs="仿宋_GB2312"/>
          <w:sz w:val="32"/>
          <w:szCs w:val="32"/>
          <w:lang w:val="en-US" w:eastAsia="zh-CN"/>
        </w:rPr>
        <w:t>按照“严、细、实、全”要求，人物同防，织密织牢疫情防控网。严密排查各类重点人员，落实“四早”措施，强化“五有一网格”，做到及时发现、快速处置、精准管控。加强学校、养老院、商超、市场等人员密集重点场所管控，坚决不发生集聚性、群体性疫情。突出做好冷链食品、进口食品管控，确保可追溯、可管理，谨防“物传人”。充分发挥各类哨点作用，提高预警能力水平，发现风险及时“吹哨”。加强应急演练，快速切断疫情传播途径，不断巩固和拓展疫情防控成效。</w:t>
      </w:r>
      <w:r>
        <w:rPr>
          <w:rFonts w:hint="eastAsia" w:ascii="仿宋_GB2312" w:hAnsi="仿宋_GB2312" w:eastAsia="仿宋_GB2312" w:cs="仿宋_GB2312"/>
          <w:b w:val="0"/>
          <w:bCs w:val="0"/>
          <w:sz w:val="32"/>
          <w:szCs w:val="32"/>
          <w:lang w:val="en-US" w:eastAsia="zh-CN"/>
        </w:rPr>
        <w:t>强化督办问责。</w:t>
      </w:r>
      <w:r>
        <w:rPr>
          <w:rFonts w:hint="eastAsia" w:ascii="仿宋_GB2312" w:hAnsi="仿宋_GB2312" w:eastAsia="仿宋_GB2312" w:cs="仿宋_GB2312"/>
          <w:sz w:val="32"/>
          <w:szCs w:val="32"/>
          <w:lang w:val="en-US" w:eastAsia="zh-CN"/>
        </w:rPr>
        <w:t>扎实开展疫情防控督导检查，发现问题，及时反馈、及时整改。加大督查问责力度，对因疫情防控不利造成重大影响的，坚决予以问责。深入开展新时代爱国卫生运动，大力倡导“一米线”、勤洗手、戴口罩、用公筷等卫生习惯和生活方式，筑牢疫情防控的最后一道防线。</w:t>
      </w:r>
    </w:p>
    <w:p w14:paraId="72F26B36">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ascii="Times New Roman" w:hAnsi="Times New Roman" w:eastAsia="仿宋_GB2312"/>
          <w:sz w:val="32"/>
          <w:szCs w:val="32"/>
        </w:rPr>
      </w:pPr>
      <w:r>
        <w:rPr>
          <w:rFonts w:hint="eastAsia" w:ascii="仿宋_GB2312" w:hAnsi="仿宋_GB2312" w:eastAsia="仿宋_GB2312" w:cs="仿宋_GB2312"/>
          <w:b/>
          <w:bCs/>
          <w:sz w:val="32"/>
          <w:szCs w:val="32"/>
          <w:lang w:val="en-US" w:eastAsia="zh-CN"/>
        </w:rPr>
        <w:t>强化应急管理。</w:t>
      </w:r>
      <w:r>
        <w:rPr>
          <w:rFonts w:hint="eastAsia" w:ascii="仿宋_GB2312" w:hAnsi="仿宋_GB2312" w:eastAsia="仿宋_GB2312" w:cs="仿宋_GB2312"/>
          <w:sz w:val="32"/>
          <w:szCs w:val="32"/>
          <w:lang w:val="en-US" w:eastAsia="zh-CN"/>
        </w:rPr>
        <w:t>建立健全安全生产责任体系，完善和落实属地管理责任、部门监管责任和企业主体责任。加强安全生产风险分级管控和隐患排查治理双重预防机制建设，强化重点行业领域企业安全生产标准化建设，到2022年，在重点行业领域达到100%创建率。鼓励企业参加“机械化换人、自动化减人”科技强安行动。完善安全生产联合惩戒制度，加强企业安全诚信体系建设。加强重点人员重点物品动态监管和新业态领域安全监管，在危险化学品、非煤矿山、消防、特种设备等重点领域开展专项整治行动，防范遏制重特大事故发生。健全应急管理体系，加强应急物资</w:t>
      </w:r>
      <w:bookmarkStart w:id="30" w:name="_GoBack"/>
      <w:bookmarkEnd w:id="30"/>
      <w:r>
        <w:rPr>
          <w:rFonts w:hint="eastAsia" w:ascii="仿宋_GB2312" w:hAnsi="仿宋_GB2312" w:eastAsia="仿宋_GB2312" w:cs="仿宋_GB2312"/>
          <w:sz w:val="32"/>
          <w:szCs w:val="32"/>
          <w:lang w:val="en-US" w:eastAsia="zh-CN"/>
        </w:rPr>
        <w:t>保障体系建设，建成专业化、制度化、网络化、数字化的应急物资储备库。开展全区自然灾害综合风险普查，提高防灾、减灾、抗灾、救灾能力，加强重点易发灾害的避灾工程和专兼职救援队伍建设。加强应急管理系统信息化建设，构建快速反应、处置高效的应急指挥体系，构建“中心+现场+途中”的全过程4k视频指挥系统。加强基层应急能力建设，修订完善各类应急预案，增强突发事件预警发布和应急响应能力。加强宣传教育和应急演练，提高公众自救、互救和应对各类突发事件的综合能力。</w:t>
      </w:r>
      <w:r>
        <w:rPr>
          <w:rFonts w:ascii="Times New Roman" w:hAnsi="Times New Roman" w:eastAsia="仿宋_GB2312"/>
          <w:sz w:val="32"/>
          <w:szCs w:val="32"/>
        </w:rPr>
        <w:t>到2025年，救护知识普及覆盖党政机关、企事业单位和学校重点人群25万人，培训应急救护员</w:t>
      </w:r>
      <w:r>
        <w:rPr>
          <w:rFonts w:hint="eastAsia" w:ascii="Times New Roman" w:hAnsi="Times New Roman" w:eastAsia="仿宋_GB2312"/>
          <w:sz w:val="32"/>
          <w:szCs w:val="32"/>
          <w:lang w:val="en-US" w:eastAsia="zh-CN"/>
        </w:rPr>
        <w:t>2000</w:t>
      </w:r>
      <w:r>
        <w:rPr>
          <w:rFonts w:ascii="Times New Roman" w:hAnsi="Times New Roman" w:eastAsia="仿宋_GB2312"/>
          <w:sz w:val="32"/>
          <w:szCs w:val="32"/>
        </w:rPr>
        <w:t>人。</w:t>
      </w:r>
    </w:p>
    <w:p w14:paraId="4F9C61D4">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eastAsia" w:ascii="Times New Roman" w:hAnsi="Times New Roman" w:eastAsia="仿宋_GB2312"/>
          <w:sz w:val="32"/>
          <w:szCs w:val="32"/>
          <w:lang w:val="en-US" w:eastAsia="zh-CN"/>
        </w:rPr>
      </w:pPr>
      <w:r>
        <w:rPr>
          <w:rFonts w:ascii="Times New Roman" w:hAnsi="Times New Roman" w:eastAsia="仿宋_GB2312"/>
          <w:b/>
          <w:bCs/>
          <w:sz w:val="32"/>
          <w:szCs w:val="32"/>
        </w:rPr>
        <w:t>化解社会矛盾。</w:t>
      </w:r>
      <w:r>
        <w:rPr>
          <w:rFonts w:hint="eastAsia" w:ascii="Times New Roman" w:hAnsi="Times New Roman" w:eastAsia="仿宋_GB2312"/>
          <w:sz w:val="32"/>
          <w:szCs w:val="32"/>
        </w:rPr>
        <w:t>严格落实区领导“三访一包”工作机制，继续开展化解积案三年</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整治，加强进京到省越级访专项治理，越级访逐年下降</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进一步推进信访“三无”镇、街道创建工作，扎实开展“人民满意窗口”创建活动</w:t>
      </w:r>
      <w:r>
        <w:rPr>
          <w:rFonts w:hint="eastAsia" w:ascii="Times New Roman" w:hAnsi="Times New Roman" w:eastAsia="仿宋_GB2312"/>
          <w:sz w:val="32"/>
          <w:szCs w:val="32"/>
          <w:lang w:eastAsia="zh-CN"/>
        </w:rPr>
        <w:t>。学习</w:t>
      </w:r>
      <w:r>
        <w:rPr>
          <w:rFonts w:ascii="Times New Roman" w:hAnsi="Times New Roman" w:eastAsia="仿宋_GB2312"/>
          <w:sz w:val="32"/>
          <w:szCs w:val="32"/>
        </w:rPr>
        <w:t>“枫桥经验”，畅通和规范群众诉求表达、利益协调和权益保障通道，完善人民调解、行政调解、司法调解联动工作体系，</w:t>
      </w:r>
      <w:r>
        <w:rPr>
          <w:rFonts w:ascii="Times New Roman" w:hAnsi="Times New Roman" w:eastAsia="仿宋_GB2312"/>
          <w:kern w:val="0"/>
          <w:sz w:val="32"/>
          <w:szCs w:val="32"/>
        </w:rPr>
        <w:t>建立健全源头防控、排查梳理、纠纷化解、应急处置的社会矛盾综合治理机制。</w:t>
      </w:r>
      <w:r>
        <w:rPr>
          <w:rFonts w:hint="eastAsia" w:ascii="Times New Roman" w:hAnsi="Times New Roman" w:eastAsia="仿宋_GB2312"/>
          <w:sz w:val="32"/>
          <w:szCs w:val="32"/>
          <w:lang w:eastAsia="zh-CN"/>
        </w:rPr>
        <w:t>落实</w:t>
      </w:r>
      <w:r>
        <w:rPr>
          <w:rFonts w:ascii="Times New Roman" w:hAnsi="Times New Roman" w:eastAsia="仿宋_GB2312"/>
          <w:sz w:val="32"/>
          <w:szCs w:val="32"/>
        </w:rPr>
        <w:t>涉法涉诉信访依法终结制度</w:t>
      </w:r>
      <w:r>
        <w:rPr>
          <w:rFonts w:hint="eastAsia" w:ascii="Times New Roman" w:hAnsi="Times New Roman" w:eastAsia="仿宋_GB2312"/>
          <w:sz w:val="32"/>
          <w:szCs w:val="32"/>
          <w:lang w:eastAsia="zh-CN"/>
        </w:rPr>
        <w:t>、</w:t>
      </w:r>
      <w:r>
        <w:rPr>
          <w:rFonts w:ascii="Times New Roman" w:hAnsi="Times New Roman" w:eastAsia="仿宋_GB2312"/>
          <w:sz w:val="32"/>
          <w:szCs w:val="32"/>
        </w:rPr>
        <w:t>重大决策社会稳定风险评估制度</w:t>
      </w:r>
      <w:r>
        <w:rPr>
          <w:rFonts w:hint="eastAsia" w:ascii="Times New Roman" w:hAnsi="Times New Roman" w:eastAsia="仿宋_GB2312"/>
          <w:sz w:val="32"/>
          <w:szCs w:val="32"/>
          <w:lang w:eastAsia="zh-CN"/>
        </w:rPr>
        <w:t>。</w:t>
      </w:r>
      <w:r>
        <w:rPr>
          <w:rFonts w:ascii="Times New Roman" w:hAnsi="Times New Roman" w:eastAsia="仿宋_GB2312"/>
          <w:sz w:val="32"/>
          <w:szCs w:val="32"/>
        </w:rPr>
        <w:t>基本消除重点领域信访积案</w:t>
      </w:r>
      <w:r>
        <w:rPr>
          <w:rFonts w:hint="eastAsia" w:ascii="Times New Roman" w:hAnsi="Times New Roman" w:eastAsia="仿宋_GB2312"/>
          <w:sz w:val="32"/>
          <w:szCs w:val="32"/>
          <w:lang w:eastAsia="zh-CN"/>
        </w:rPr>
        <w:t>，进京越级访逐年同比下降20%以上，越级访稳控率达到80%以上。</w:t>
      </w:r>
    </w:p>
    <w:p w14:paraId="62D7D1C7">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firstLine="643" w:firstLineChars="200"/>
        <w:textAlignment w:val="auto"/>
        <w:rPr>
          <w:rFonts w:hint="eastAsia" w:ascii="Times New Roman" w:hAnsi="Times New Roman" w:eastAsia="仿宋_GB2312" w:cs="仿宋_GB2312"/>
          <w:b w:val="0"/>
          <w:bCs w:val="0"/>
          <w:sz w:val="32"/>
          <w:szCs w:val="32"/>
          <w:highlight w:val="none"/>
          <w:lang w:val="en-US" w:eastAsia="zh-CN"/>
        </w:rPr>
      </w:pPr>
      <w:r>
        <w:rPr>
          <w:rFonts w:hint="eastAsia" w:ascii="Times New Roman" w:hAnsi="Times New Roman" w:eastAsia="仿宋_GB2312"/>
          <w:b/>
          <w:bCs/>
          <w:sz w:val="32"/>
          <w:szCs w:val="32"/>
          <w:lang w:eastAsia="zh-CN"/>
        </w:rPr>
        <w:t>切实保障</w:t>
      </w:r>
      <w:r>
        <w:rPr>
          <w:rFonts w:hint="eastAsia" w:ascii="Times New Roman" w:hAnsi="Times New Roman" w:eastAsia="仿宋_GB2312"/>
          <w:b/>
          <w:bCs/>
          <w:sz w:val="32"/>
          <w:szCs w:val="32"/>
        </w:rPr>
        <w:t>“</w:t>
      </w:r>
      <w:r>
        <w:rPr>
          <w:rFonts w:hint="eastAsia" w:ascii="Times New Roman" w:hAnsi="Times New Roman" w:eastAsia="仿宋_GB2312"/>
          <w:b/>
          <w:bCs/>
          <w:sz w:val="32"/>
          <w:szCs w:val="32"/>
          <w:lang w:eastAsia="zh-CN"/>
        </w:rPr>
        <w:t>四项安全</w:t>
      </w:r>
      <w:r>
        <w:rPr>
          <w:rFonts w:hint="default" w:ascii="Times New Roman" w:hAnsi="Times New Roman" w:eastAsia="仿宋_GB2312"/>
          <w:b/>
          <w:bCs/>
          <w:sz w:val="32"/>
          <w:szCs w:val="32"/>
          <w:lang w:val="en-US" w:eastAsia="zh-CN"/>
        </w:rPr>
        <w:t>”</w:t>
      </w:r>
      <w:r>
        <w:rPr>
          <w:rFonts w:hint="eastAsia" w:ascii="Times New Roman" w:hAnsi="Times New Roman" w:eastAsia="仿宋_GB2312"/>
          <w:b/>
          <w:bCs/>
          <w:sz w:val="32"/>
          <w:szCs w:val="32"/>
        </w:rPr>
        <w:t>。</w:t>
      </w:r>
      <w:r>
        <w:rPr>
          <w:rFonts w:hint="eastAsia" w:ascii="Times New Roman" w:hAnsi="Times New Roman" w:eastAsia="仿宋_GB2312" w:cs="仿宋_GB2312"/>
          <w:sz w:val="32"/>
          <w:szCs w:val="32"/>
          <w:lang w:val="en-US" w:eastAsia="zh-CN"/>
        </w:rPr>
        <w:t>开展重点时段、重点区域专项检查。常态化监管</w:t>
      </w:r>
      <w:r>
        <w:rPr>
          <w:rFonts w:hint="eastAsia" w:ascii="Times New Roman" w:hAnsi="Times New Roman" w:eastAsia="仿宋_GB2312" w:cs="仿宋_GB2312"/>
          <w:sz w:val="32"/>
          <w:szCs w:val="32"/>
        </w:rPr>
        <w:t>校园</w:t>
      </w:r>
      <w:r>
        <w:rPr>
          <w:rFonts w:hint="eastAsia" w:ascii="Times New Roman" w:hAnsi="Times New Roman" w:eastAsia="仿宋_GB2312" w:cs="仿宋_GB2312"/>
          <w:sz w:val="32"/>
          <w:szCs w:val="32"/>
          <w:lang w:eastAsia="zh-CN"/>
        </w:rPr>
        <w:t>、大型集体聚餐场所、</w:t>
      </w:r>
      <w:r>
        <w:rPr>
          <w:rFonts w:hint="eastAsia" w:ascii="Times New Roman" w:hAnsi="Times New Roman" w:eastAsia="仿宋_GB2312" w:cs="仿宋_GB2312"/>
          <w:sz w:val="32"/>
          <w:szCs w:val="32"/>
        </w:rPr>
        <w:t>旅游景区等重点区域，</w:t>
      </w:r>
      <w:r>
        <w:rPr>
          <w:rFonts w:hint="eastAsia" w:ascii="Times New Roman" w:hAnsi="Times New Roman" w:eastAsia="仿宋_GB2312" w:cs="仿宋_GB2312"/>
          <w:sz w:val="32"/>
          <w:szCs w:val="32"/>
          <w:lang w:eastAsia="zh-CN"/>
        </w:rPr>
        <w:t>加强元旦、春节、端午、中秋等节日食品监管。整治规范网络订餐第三方平台。</w:t>
      </w:r>
      <w:r>
        <w:rPr>
          <w:rFonts w:hint="eastAsia" w:ascii="Times New Roman" w:hAnsi="Times New Roman" w:eastAsia="仿宋_GB2312" w:cs="仿宋_GB2312"/>
          <w:sz w:val="32"/>
          <w:szCs w:val="32"/>
        </w:rPr>
        <w:t>积极配合市食品药品检验检测中心及第三方检测机构完成食品检验。继续推进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阳光餐饮</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建设，</w:t>
      </w:r>
      <w:r>
        <w:rPr>
          <w:rFonts w:hint="eastAsia" w:ascii="Times New Roman" w:hAnsi="Times New Roman" w:eastAsia="仿宋_GB2312" w:cs="仿宋_GB2312"/>
          <w:sz w:val="32"/>
          <w:szCs w:val="32"/>
          <w:lang w:eastAsia="zh-CN"/>
        </w:rPr>
        <w:t>基本实现</w:t>
      </w:r>
      <w:r>
        <w:rPr>
          <w:rFonts w:hint="eastAsia" w:ascii="Times New Roman" w:hAnsi="Times New Roman" w:eastAsia="仿宋_GB2312" w:cs="仿宋_GB2312"/>
          <w:sz w:val="32"/>
          <w:szCs w:val="32"/>
        </w:rPr>
        <w:t>餐饮服务单位食品安全信息公开和食品加工操作过程可视化。加</w:t>
      </w:r>
      <w:r>
        <w:rPr>
          <w:rFonts w:hint="eastAsia" w:ascii="Times New Roman" w:hAnsi="Times New Roman" w:eastAsia="仿宋_GB2312" w:cs="仿宋_GB2312"/>
          <w:sz w:val="32"/>
          <w:szCs w:val="32"/>
          <w:lang w:eastAsia="zh-CN"/>
        </w:rPr>
        <w:t>大对</w:t>
      </w:r>
      <w:r>
        <w:rPr>
          <w:rFonts w:hint="eastAsia" w:ascii="Times New Roman" w:hAnsi="Times New Roman" w:eastAsia="仿宋_GB2312" w:cs="仿宋_GB2312"/>
          <w:sz w:val="32"/>
          <w:szCs w:val="32"/>
        </w:rPr>
        <w:t>保健食品非法会销及虚假宣传</w:t>
      </w:r>
      <w:r>
        <w:rPr>
          <w:rFonts w:hint="eastAsia" w:ascii="Times New Roman" w:hAnsi="Times New Roman" w:eastAsia="仿宋_GB2312" w:cs="仿宋_GB2312"/>
          <w:sz w:val="32"/>
          <w:szCs w:val="32"/>
          <w:lang w:eastAsia="zh-CN"/>
        </w:rPr>
        <w:t>的</w:t>
      </w:r>
      <w:r>
        <w:rPr>
          <w:rFonts w:hint="eastAsia" w:ascii="Times New Roman" w:hAnsi="Times New Roman" w:eastAsia="仿宋_GB2312" w:cs="仿宋_GB2312"/>
          <w:sz w:val="32"/>
          <w:szCs w:val="32"/>
        </w:rPr>
        <w:t>打击力度。全面开展药品风险排查整治，突出抓好药品流通环节的重点品种管控，</w:t>
      </w:r>
      <w:r>
        <w:rPr>
          <w:rFonts w:hint="eastAsia" w:ascii="Times New Roman" w:hAnsi="Times New Roman" w:eastAsia="仿宋_GB2312" w:cs="仿宋_GB2312"/>
          <w:sz w:val="32"/>
          <w:szCs w:val="32"/>
          <w:lang w:eastAsia="zh-CN"/>
        </w:rPr>
        <w:t>兼顾</w:t>
      </w:r>
      <w:r>
        <w:rPr>
          <w:rFonts w:hint="eastAsia" w:ascii="Times New Roman" w:hAnsi="Times New Roman" w:eastAsia="仿宋_GB2312" w:cs="仿宋_GB2312"/>
          <w:sz w:val="32"/>
          <w:szCs w:val="32"/>
        </w:rPr>
        <w:t>“两票制度”、GSP等重点环节</w:t>
      </w:r>
      <w:r>
        <w:rPr>
          <w:rFonts w:hint="eastAsia" w:ascii="Times New Roman" w:hAnsi="Times New Roman" w:eastAsia="仿宋_GB2312" w:cs="仿宋_GB2312"/>
          <w:sz w:val="32"/>
          <w:szCs w:val="32"/>
          <w:lang w:eastAsia="zh-CN"/>
        </w:rPr>
        <w:t>的日常监管，</w:t>
      </w:r>
      <w:r>
        <w:rPr>
          <w:rFonts w:hint="eastAsia" w:ascii="Times New Roman" w:hAnsi="Times New Roman" w:eastAsia="仿宋_GB2312" w:cs="仿宋_GB2312"/>
          <w:sz w:val="32"/>
          <w:szCs w:val="32"/>
        </w:rPr>
        <w:t>切实落靠药品质量安全溯源监管机制。</w:t>
      </w:r>
      <w:r>
        <w:rPr>
          <w:rFonts w:hint="eastAsia" w:ascii="Times New Roman" w:hAnsi="Times New Roman" w:eastAsia="仿宋_GB2312" w:cs="仿宋_GB2312"/>
          <w:sz w:val="32"/>
          <w:szCs w:val="32"/>
          <w:lang w:eastAsia="zh-CN"/>
        </w:rPr>
        <w:t>开展药品流通领域日常监督检查，以省局飞检的</w:t>
      </w: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lang w:eastAsia="zh-CN"/>
        </w:rPr>
        <w:t>项主要内容为重点，争取检查辖区的药品零售企业覆盖率</w:t>
      </w:r>
      <w:r>
        <w:rPr>
          <w:rFonts w:hint="eastAsia" w:ascii="Times New Roman" w:hAnsi="Times New Roman" w:eastAsia="仿宋_GB2312" w:cs="仿宋_GB2312"/>
          <w:sz w:val="32"/>
          <w:szCs w:val="32"/>
          <w:lang w:val="en-US" w:eastAsia="zh-CN"/>
        </w:rPr>
        <w:t>100</w:t>
      </w:r>
      <w:r>
        <w:rPr>
          <w:rFonts w:hint="eastAsia" w:ascii="Times New Roman" w:hAnsi="Times New Roman" w:eastAsia="仿宋_GB2312" w:cs="仿宋_GB2312"/>
          <w:sz w:val="32"/>
          <w:szCs w:val="32"/>
          <w:lang w:eastAsia="zh-CN"/>
        </w:rPr>
        <w:t>%、检查疫苗接种单位覆盖率100%，开展无菌、植入类医疗器械专项检查，</w:t>
      </w:r>
      <w:r>
        <w:rPr>
          <w:rFonts w:hint="eastAsia" w:ascii="Times New Roman" w:hAnsi="Times New Roman" w:eastAsia="仿宋_GB2312" w:cs="仿宋_GB2312"/>
          <w:b w:val="0"/>
          <w:bCs w:val="0"/>
          <w:sz w:val="32"/>
          <w:szCs w:val="32"/>
          <w:highlight w:val="none"/>
          <w:lang w:val="en-US" w:eastAsia="zh-CN"/>
        </w:rPr>
        <w:t>规范辖区药品医疗器械经营行为。按照监管领域要求，加强特种设备使用安全、产品质量监管。</w:t>
      </w:r>
    </w:p>
    <w:p w14:paraId="62183014">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第七节　深化平安爱民建设</w:t>
      </w:r>
    </w:p>
    <w:p w14:paraId="7FE15B4C">
      <w:pPr>
        <w:pageBreakBefore w:val="0"/>
        <w:kinsoku/>
        <w:wordWrap/>
        <w:overflowPunct/>
        <w:topLinePunct w:val="0"/>
        <w:bidi w:val="0"/>
        <w:snapToGrid/>
        <w:spacing w:line="240" w:lineRule="auto"/>
        <w:ind w:left="0" w:leftChars="0" w:firstLine="640" w:firstLineChars="200"/>
        <w:rPr>
          <w:rFonts w:hint="default" w:ascii="仿宋" w:hAnsi="仿宋" w:eastAsia="仿宋" w:cs="仿宋_GB2312"/>
          <w:sz w:val="32"/>
          <w:szCs w:val="32"/>
          <w:lang w:val="en-US" w:eastAsia="zh-CN"/>
        </w:rPr>
      </w:pPr>
      <w:r>
        <w:rPr>
          <w:rFonts w:hint="eastAsia" w:ascii="Times New Roman" w:hAnsi="Times New Roman" w:eastAsia="仿宋_GB2312"/>
          <w:sz w:val="32"/>
          <w:szCs w:val="32"/>
          <w:lang w:eastAsia="zh-CN"/>
        </w:rPr>
        <w:t>防范化解各种风险，筑牢安全屏障，巩固省级平安区创建成果，完成市创建国家安全发展示范城市任务。</w:t>
      </w:r>
      <w:r>
        <w:rPr>
          <w:rFonts w:hint="eastAsia" w:ascii="仿宋" w:hAnsi="仿宋" w:eastAsia="仿宋" w:cs="仿宋_GB2312"/>
          <w:bCs/>
          <w:sz w:val="32"/>
          <w:szCs w:val="32"/>
        </w:rPr>
        <w:t>着力维护国家政治安全。</w:t>
      </w:r>
      <w:r>
        <w:rPr>
          <w:rFonts w:hint="eastAsia" w:ascii="仿宋" w:hAnsi="仿宋" w:eastAsia="仿宋" w:cs="仿宋_GB2312"/>
          <w:sz w:val="32"/>
          <w:szCs w:val="32"/>
        </w:rPr>
        <w:t>加强国家安全人民防线建设,增强全民国家安全意识,及时发现、防范和打击敌对势力煽动颠覆破坏活动。依法加强境外非政府组织在辖区内的活动管理。防范打击宗教极端活动、民族分裂活动,深化反恐斗争,坚决防止发生相关案件。</w:t>
      </w:r>
      <w:r>
        <w:rPr>
          <w:rFonts w:hint="eastAsia" w:ascii="仿宋" w:hAnsi="仿宋" w:eastAsia="仿宋" w:cs="仿宋_GB2312"/>
          <w:sz w:val="32"/>
          <w:szCs w:val="32"/>
          <w:lang w:eastAsia="zh-CN"/>
        </w:rPr>
        <w:t>加强社会治安综合治理。</w:t>
      </w:r>
      <w:r>
        <w:rPr>
          <w:rFonts w:ascii="Times New Roman" w:hAnsi="Times New Roman" w:eastAsia="仿宋_GB2312"/>
          <w:sz w:val="32"/>
          <w:szCs w:val="32"/>
        </w:rPr>
        <w:t>加强社会治安基层基础工作</w:t>
      </w:r>
      <w:r>
        <w:rPr>
          <w:rFonts w:hint="eastAsia" w:ascii="Times New Roman" w:hAnsi="Times New Roman" w:eastAsia="仿宋_GB2312"/>
          <w:sz w:val="32"/>
          <w:szCs w:val="32"/>
          <w:lang w:eastAsia="zh-CN"/>
        </w:rPr>
        <w:t>，</w:t>
      </w:r>
      <w:r>
        <w:rPr>
          <w:rFonts w:hint="eastAsia" w:ascii="仿宋_GB2312" w:eastAsia="仿宋_GB2312"/>
          <w:sz w:val="32"/>
          <w:szCs w:val="32"/>
        </w:rPr>
        <w:t>建立健全防控体系</w:t>
      </w:r>
      <w:r>
        <w:rPr>
          <w:rFonts w:hint="eastAsia" w:ascii="仿宋_GB2312" w:eastAsia="仿宋_GB2312"/>
          <w:sz w:val="32"/>
          <w:szCs w:val="32"/>
          <w:lang w:eastAsia="zh-CN"/>
        </w:rPr>
        <w:t>。</w:t>
      </w:r>
      <w:r>
        <w:rPr>
          <w:rFonts w:hint="eastAsia" w:ascii="仿宋" w:hAnsi="仿宋" w:eastAsia="仿宋" w:cs="仿宋_GB2312"/>
          <w:sz w:val="32"/>
          <w:szCs w:val="32"/>
          <w:lang w:eastAsia="zh-CN"/>
        </w:rPr>
        <w:t>依托国家大数据和网络科技，</w:t>
      </w:r>
      <w:r>
        <w:rPr>
          <w:rFonts w:ascii="Times New Roman" w:hAnsi="Times New Roman" w:eastAsia="仿宋_GB2312"/>
          <w:sz w:val="32"/>
          <w:szCs w:val="32"/>
        </w:rPr>
        <w:t>推进智慧街面、智慧内保</w:t>
      </w:r>
      <w:r>
        <w:rPr>
          <w:rFonts w:hint="eastAsia" w:ascii="Times New Roman" w:hAnsi="Times New Roman" w:eastAsia="仿宋_GB2312"/>
          <w:sz w:val="32"/>
          <w:szCs w:val="32"/>
          <w:lang w:eastAsia="zh-CN"/>
        </w:rPr>
        <w:t>、智慧小区</w:t>
      </w:r>
      <w:r>
        <w:rPr>
          <w:rFonts w:ascii="Times New Roman" w:hAnsi="Times New Roman" w:eastAsia="仿宋_GB2312"/>
          <w:sz w:val="32"/>
          <w:szCs w:val="32"/>
        </w:rPr>
        <w:t>建设，构建治安防控识别圈。</w:t>
      </w:r>
      <w:r>
        <w:rPr>
          <w:rFonts w:ascii="Times New Roman" w:hAnsi="Times New Roman" w:eastAsia="仿宋_GB2312"/>
          <w:kern w:val="0"/>
          <w:sz w:val="32"/>
          <w:szCs w:val="32"/>
        </w:rPr>
        <w:t>推进智慧法院、智慧检务、智慧警务建设，</w:t>
      </w:r>
      <w:r>
        <w:rPr>
          <w:rFonts w:hint="eastAsia" w:ascii="Times New Roman" w:hAnsi="Times New Roman" w:eastAsia="仿宋_GB2312"/>
          <w:kern w:val="0"/>
          <w:sz w:val="32"/>
          <w:szCs w:val="32"/>
          <w:lang w:eastAsia="zh-CN"/>
        </w:rPr>
        <w:t>构建智慧</w:t>
      </w:r>
      <w:r>
        <w:rPr>
          <w:rFonts w:ascii="Times New Roman" w:hAnsi="Times New Roman" w:eastAsia="仿宋_GB2312"/>
          <w:kern w:val="0"/>
          <w:sz w:val="32"/>
          <w:szCs w:val="32"/>
        </w:rPr>
        <w:t>司法</w:t>
      </w:r>
      <w:r>
        <w:rPr>
          <w:rFonts w:hint="eastAsia" w:ascii="Times New Roman" w:hAnsi="Times New Roman" w:eastAsia="仿宋_GB2312"/>
          <w:kern w:val="0"/>
          <w:sz w:val="32"/>
          <w:szCs w:val="32"/>
          <w:lang w:eastAsia="zh-CN"/>
        </w:rPr>
        <w:t>体系</w:t>
      </w:r>
      <w:r>
        <w:rPr>
          <w:rFonts w:ascii="Times New Roman" w:hAnsi="Times New Roman" w:eastAsia="仿宋_GB2312"/>
          <w:kern w:val="0"/>
          <w:sz w:val="32"/>
          <w:szCs w:val="32"/>
        </w:rPr>
        <w:t>。</w:t>
      </w:r>
      <w:r>
        <w:rPr>
          <w:rFonts w:hint="eastAsia" w:ascii="Times New Roman" w:hAnsi="Times New Roman" w:eastAsia="仿宋_GB2312"/>
          <w:sz w:val="32"/>
          <w:szCs w:val="32"/>
          <w:lang w:eastAsia="zh-CN"/>
        </w:rPr>
        <w:t>加大</w:t>
      </w:r>
      <w:r>
        <w:rPr>
          <w:rFonts w:ascii="Times New Roman" w:hAnsi="Times New Roman" w:eastAsia="仿宋_GB2312"/>
          <w:sz w:val="32"/>
          <w:szCs w:val="32"/>
        </w:rPr>
        <w:t>重点区域整治，</w:t>
      </w:r>
      <w:r>
        <w:rPr>
          <w:rFonts w:ascii="Times New Roman" w:hAnsi="Times New Roman" w:eastAsia="仿宋_GB2312"/>
          <w:kern w:val="0"/>
          <w:sz w:val="32"/>
          <w:szCs w:val="32"/>
        </w:rPr>
        <w:t>严厉打击暴力恐怖、新型网络犯罪和跨国犯罪。</w:t>
      </w:r>
      <w:r>
        <w:rPr>
          <w:rFonts w:hint="eastAsia" w:ascii="仿宋_GB2312" w:eastAsia="仿宋_GB2312"/>
          <w:sz w:val="32"/>
          <w:szCs w:val="32"/>
        </w:rPr>
        <w:t>加强公共娱乐、服务场所的治安管理，遏制“黄赌毒”等社会丑恶现象发生。保持对刑事犯罪活动的高压态势，</w:t>
      </w:r>
      <w:r>
        <w:rPr>
          <w:rFonts w:hint="eastAsia" w:ascii="仿宋_GB2312" w:hAnsi="宋体" w:eastAsia="仿宋_GB2312" w:cs="宋体"/>
          <w:kern w:val="0"/>
          <w:sz w:val="32"/>
          <w:szCs w:val="32"/>
        </w:rPr>
        <w:t>加强命案侦破，现行命案破案率达到100%，八类案件破案率达到80%以上</w:t>
      </w:r>
      <w:r>
        <w:rPr>
          <w:rFonts w:hint="eastAsia" w:ascii="仿宋_GB2312" w:hAnsi="宋体" w:eastAsia="仿宋_GB2312" w:cs="宋体"/>
          <w:kern w:val="0"/>
          <w:sz w:val="32"/>
          <w:szCs w:val="32"/>
          <w:lang w:eastAsia="zh-CN"/>
        </w:rPr>
        <w:t>。</w:t>
      </w:r>
      <w:r>
        <w:rPr>
          <w:rFonts w:hint="eastAsia" w:ascii="仿宋_GB2312" w:hAnsi="仿宋_GB2312" w:eastAsia="仿宋_GB2312" w:cs="仿宋_GB2312"/>
          <w:sz w:val="32"/>
          <w:szCs w:val="32"/>
        </w:rPr>
        <w:t>推进扫黑除恶专项斗争常态化，建立健全扫黑除恶长效机制，坚决铲除黑恶滋生土壤</w:t>
      </w:r>
      <w:r>
        <w:rPr>
          <w:rFonts w:hint="eastAsia" w:ascii="仿宋_GB2312" w:hAnsi="仿宋_GB2312" w:eastAsia="仿宋_GB2312" w:cs="仿宋_GB2312"/>
          <w:sz w:val="32"/>
          <w:szCs w:val="32"/>
          <w:lang w:eastAsia="zh-CN"/>
        </w:rPr>
        <w:t>。</w:t>
      </w:r>
      <w:r>
        <w:rPr>
          <w:rFonts w:hint="eastAsia" w:ascii="仿宋_GB2312" w:eastAsia="仿宋_GB2312"/>
          <w:sz w:val="32"/>
          <w:szCs w:val="32"/>
        </w:rPr>
        <w:t>完善网络诈骗监测预警，严厉打击经济犯罪活动</w:t>
      </w:r>
      <w:r>
        <w:rPr>
          <w:rFonts w:hint="eastAsia" w:ascii="仿宋_GB2312" w:eastAsia="仿宋_GB2312"/>
          <w:sz w:val="32"/>
          <w:szCs w:val="32"/>
          <w:lang w:eastAsia="zh-CN"/>
        </w:rPr>
        <w:t>。</w:t>
      </w:r>
      <w:r>
        <w:rPr>
          <w:rFonts w:ascii="Times New Roman" w:hAnsi="Times New Roman" w:eastAsia="仿宋_GB2312"/>
          <w:sz w:val="32"/>
          <w:szCs w:val="32"/>
        </w:rPr>
        <w:t>持续推进禁毒工作。</w:t>
      </w:r>
      <w:r>
        <w:rPr>
          <w:rFonts w:hint="eastAsia" w:ascii="仿宋" w:hAnsi="仿宋" w:eastAsia="仿宋" w:cs="仿宋_GB2312"/>
          <w:sz w:val="32"/>
          <w:szCs w:val="32"/>
        </w:rPr>
        <w:t>加强社区矫正对象、吸毒人员、严重精神障碍患者等各类特殊人群管理</w:t>
      </w:r>
      <w:r>
        <w:rPr>
          <w:rFonts w:hint="eastAsia" w:ascii="仿宋" w:hAnsi="仿宋" w:eastAsia="仿宋" w:cs="仿宋_GB2312"/>
          <w:sz w:val="32"/>
          <w:szCs w:val="32"/>
          <w:lang w:eastAsia="zh-CN"/>
        </w:rPr>
        <w:t>，社区矫正不发生重特大监管事故。广泛开展“法律七进”活动，完成“八五”普法任务。加强人民调解工作，力争人民调解案件完成率达到</w:t>
      </w:r>
      <w:r>
        <w:rPr>
          <w:rFonts w:hint="eastAsia" w:ascii="仿宋" w:hAnsi="仿宋" w:eastAsia="仿宋" w:cs="仿宋_GB2312"/>
          <w:sz w:val="32"/>
          <w:szCs w:val="32"/>
          <w:lang w:val="en-US" w:eastAsia="zh-CN"/>
        </w:rPr>
        <w:t>95%以上。</w:t>
      </w:r>
    </w:p>
    <w:p w14:paraId="478E16C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eastAsia="zh-CN"/>
        </w:rPr>
      </w:pPr>
    </w:p>
    <w:p w14:paraId="62685AD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第六章</w:t>
      </w:r>
      <w:r>
        <w:rPr>
          <w:rFonts w:hint="eastAsia" w:ascii="黑体" w:hAnsi="黑体" w:eastAsia="黑体" w:cs="黑体"/>
          <w:sz w:val="32"/>
          <w:szCs w:val="32"/>
          <w:lang w:val="en-US" w:eastAsia="zh-CN"/>
        </w:rPr>
        <w:t xml:space="preserve">  实施保障</w:t>
      </w:r>
    </w:p>
    <w:p w14:paraId="5442BAFC">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第一节  加强党的全面领导</w:t>
      </w:r>
    </w:p>
    <w:p w14:paraId="53D491DA">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cs="仿宋_GB2312"/>
          <w:kern w:val="0"/>
          <w:sz w:val="32"/>
          <w:szCs w:val="32"/>
        </w:rPr>
        <w:t>坚持党的集中统一领导，贯彻党把方向、谋大局、定政策、促改革的要求，增强“四个意识”、坚定“四个自信”、做到“两个维护”，完善上下贯通、执行有力的组织体系</w:t>
      </w:r>
      <w:r>
        <w:rPr>
          <w:rFonts w:hint="eastAsia" w:ascii="Times New Roman" w:hAnsi="Times New Roman" w:eastAsia="仿宋_GB2312" w:cs="仿宋_GB2312"/>
          <w:kern w:val="0"/>
          <w:sz w:val="32"/>
          <w:szCs w:val="32"/>
          <w:lang w:eastAsia="zh-CN"/>
        </w:rPr>
        <w:t>。</w:t>
      </w:r>
      <w:r>
        <w:rPr>
          <w:rFonts w:ascii="Times New Roman" w:hAnsi="Times New Roman" w:eastAsia="仿宋_GB2312"/>
          <w:sz w:val="32"/>
          <w:szCs w:val="32"/>
        </w:rPr>
        <w:t>改进党的领导方式和执政方式，加强党组织标准化建设，强化党对统一战线和群团等工作的领导，形成推动规划实施合力。</w:t>
      </w:r>
      <w:r>
        <w:rPr>
          <w:rFonts w:hint="eastAsia" w:ascii="Times New Roman" w:hAnsi="Times New Roman" w:eastAsia="仿宋_GB2312"/>
          <w:kern w:val="0"/>
          <w:sz w:val="32"/>
          <w:szCs w:val="32"/>
        </w:rPr>
        <w:t>落实全面从严治党主体责任、监督责任，提高党的建设质量。把严的主基调长期坚持下去，锲而不舍</w:t>
      </w:r>
      <w:r>
        <w:rPr>
          <w:rFonts w:ascii="Times New Roman" w:hAnsi="Times New Roman" w:eastAsia="仿宋_GB2312"/>
          <w:kern w:val="0"/>
          <w:sz w:val="32"/>
          <w:szCs w:val="32"/>
        </w:rPr>
        <w:t>落实中央八项规定及其实施细则，建立</w:t>
      </w:r>
      <w:r>
        <w:rPr>
          <w:rFonts w:hint="eastAsia" w:ascii="Times New Roman" w:hAnsi="Times New Roman" w:eastAsia="仿宋_GB2312"/>
          <w:kern w:val="0"/>
          <w:sz w:val="32"/>
          <w:szCs w:val="32"/>
        </w:rPr>
        <w:t>纠治</w:t>
      </w:r>
      <w:r>
        <w:rPr>
          <w:rFonts w:ascii="Times New Roman" w:hAnsi="Times New Roman" w:eastAsia="仿宋_GB2312"/>
          <w:kern w:val="0"/>
          <w:sz w:val="32"/>
          <w:szCs w:val="32"/>
        </w:rPr>
        <w:t>形式主义、官僚主义长效机制，健全和落实为基层减负长效机制。</w:t>
      </w:r>
      <w:r>
        <w:rPr>
          <w:rFonts w:hint="eastAsia" w:ascii="Times New Roman" w:hAnsi="Times New Roman" w:eastAsia="仿宋_GB2312"/>
          <w:kern w:val="0"/>
          <w:sz w:val="32"/>
          <w:szCs w:val="32"/>
        </w:rPr>
        <w:t>完善监督体系，加强政治监督，强化对公权力运行的制约和监督。坚持无禁区、全覆盖、零容忍，一体推进不敢腐、不能腐、不想腐</w:t>
      </w:r>
      <w:r>
        <w:rPr>
          <w:rFonts w:ascii="Times New Roman" w:hAnsi="Times New Roman" w:eastAsia="仿宋_GB2312"/>
          <w:kern w:val="0"/>
          <w:sz w:val="32"/>
          <w:szCs w:val="32"/>
        </w:rPr>
        <w:t>。坚持政治生态考核制度化常态化，加强问题整改效果的利益攸关方评价。</w:t>
      </w:r>
      <w:r>
        <w:rPr>
          <w:rFonts w:hint="eastAsia" w:ascii="Times New Roman" w:hAnsi="Times New Roman" w:eastAsia="仿宋_GB2312" w:cs="仿宋_GB2312"/>
          <w:kern w:val="0"/>
          <w:sz w:val="32"/>
          <w:szCs w:val="32"/>
        </w:rPr>
        <w:t>全面贯彻新时代党的组织路线，加强干部队伍建设，落实好干部标准，</w:t>
      </w:r>
      <w:r>
        <w:rPr>
          <w:rFonts w:ascii="Times New Roman" w:hAnsi="Times New Roman" w:eastAsia="仿宋_GB2312"/>
          <w:sz w:val="32"/>
          <w:szCs w:val="32"/>
        </w:rPr>
        <w:t>聚焦制度执行力和治理能力选人，实施领导干部政治能力提升计划，</w:t>
      </w:r>
      <w:r>
        <w:rPr>
          <w:rFonts w:hint="eastAsia" w:ascii="Times New Roman" w:hAnsi="Times New Roman" w:eastAsia="仿宋_GB2312" w:cs="仿宋_GB2312"/>
          <w:kern w:val="0"/>
          <w:sz w:val="32"/>
          <w:szCs w:val="32"/>
        </w:rPr>
        <w:t>提高各级领导班子和干部适应新时代新要求抓改革、促发展、保稳定水平和专业化能力，以正确用人导向引领干事创业导向。</w:t>
      </w:r>
      <w:r>
        <w:rPr>
          <w:rFonts w:ascii="Times New Roman" w:hAnsi="Times New Roman" w:eastAsia="仿宋_GB2312"/>
          <w:sz w:val="32"/>
          <w:szCs w:val="32"/>
        </w:rPr>
        <w:t>积极探索落实“三个区分开来”具体举措，研究细化容错</w:t>
      </w:r>
      <w:r>
        <w:rPr>
          <w:rFonts w:hint="eastAsia" w:ascii="Times New Roman" w:hAnsi="Times New Roman" w:eastAsia="仿宋_GB2312"/>
          <w:sz w:val="32"/>
          <w:szCs w:val="32"/>
        </w:rPr>
        <w:t>纠错</w:t>
      </w:r>
      <w:r>
        <w:rPr>
          <w:rFonts w:ascii="Times New Roman" w:hAnsi="Times New Roman" w:eastAsia="仿宋_GB2312"/>
          <w:sz w:val="32"/>
          <w:szCs w:val="32"/>
        </w:rPr>
        <w:t>具体情形和操作流程，消除干部担当作为的后顾之忧，营造风清气正的良好政治生态。</w:t>
      </w:r>
    </w:p>
    <w:p w14:paraId="67944AE4">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xml:space="preserve">第二节  </w:t>
      </w:r>
      <w:bookmarkStart w:id="22" w:name="_Toc55593795"/>
      <w:bookmarkStart w:id="23" w:name="_Toc50566614"/>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充分动员社会力量</w:t>
      </w:r>
      <w:bookmarkEnd w:id="22"/>
      <w:bookmarkEnd w:id="23"/>
    </w:p>
    <w:p w14:paraId="08138345">
      <w:pPr>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bookmarkStart w:id="24" w:name="_Toc44604040"/>
      <w:r>
        <w:rPr>
          <w:rFonts w:ascii="Times New Roman" w:hAnsi="Times New Roman" w:eastAsia="仿宋_GB2312" w:cs="Times New Roman"/>
          <w:color w:val="000000" w:themeColor="text1"/>
          <w:sz w:val="32"/>
          <w:szCs w:val="32"/>
          <w14:textFill>
            <w14:solidFill>
              <w14:schemeClr w14:val="tx1"/>
            </w14:solidFill>
          </w14:textFill>
        </w:rPr>
        <w:t>充分尊重人民群众的主体地位和首创精神，广泛汲取民智、凝聚民力，充分调动社会力量积极性，形成规划实施的强大合力。巩固和发展最广泛的爱国统一战线，充分调动一切积极因素，支持工会、共青团、妇联等人民团体和各类社会组织参与社会治理和公共服务。发挥科研机构、智库的辅助支持作用，创新完善决策咨询体制机制。加强宣传和舆论引导，更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地</w:t>
      </w:r>
      <w:r>
        <w:rPr>
          <w:rFonts w:ascii="Times New Roman" w:hAnsi="Times New Roman" w:eastAsia="仿宋_GB2312" w:cs="Times New Roman"/>
          <w:color w:val="000000" w:themeColor="text1"/>
          <w:sz w:val="32"/>
          <w:szCs w:val="32"/>
          <w14:textFill>
            <w14:solidFill>
              <w14:schemeClr w14:val="tx1"/>
            </w14:solidFill>
          </w14:textFill>
        </w:rPr>
        <w:t>把全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人民的思想和行动统一起来，推动规划确定的各项目标任务落地生根。</w:t>
      </w:r>
    </w:p>
    <w:p w14:paraId="396A8EEF">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25" w:name="_Toc50566615"/>
      <w:bookmarkStart w:id="26" w:name="_Toc55593796"/>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第三节</w:t>
      </w:r>
      <w:bookmarkEnd w:id="24"/>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　健全</w:t>
      </w:r>
      <w:bookmarkEnd w:id="25"/>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统一规划体系</w:t>
      </w:r>
      <w:bookmarkEnd w:id="26"/>
    </w:p>
    <w:p w14:paraId="19B603B8">
      <w:pPr>
        <w:pageBreakBefore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更好发挥本规划的战略导向作用，坚持下位规划服从上位规划、下级规划服务上级规划、等位规划相互协调，形成以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级发展规划为统领，以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级专项规划为支撑，定位准确、边界清晰、功能互补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的规划体系。</w:t>
      </w:r>
      <w:r>
        <w:rPr>
          <w:rFonts w:ascii="Times New Roman" w:hAnsi="Times New Roman" w:eastAsia="仿宋_GB2312" w:cs="Times New Roman"/>
          <w:color w:val="000000" w:themeColor="text1"/>
          <w:sz w:val="32"/>
          <w:szCs w:val="32"/>
          <w14:textFill>
            <w14:solidFill>
              <w14:schemeClr w14:val="tx1"/>
            </w14:solidFill>
          </w14:textFill>
        </w:rPr>
        <w:t>建立健全规划衔接协调机制，规范衔接程序，加强规划目标、发展方向、总体布局、重大政策、重大工程、风险防控等有效衔接，确保各级各类规划在总体要求上方向一致、空间配置上相互协调、时序安排上科学</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合理</w:t>
      </w:r>
      <w:r>
        <w:rPr>
          <w:rFonts w:ascii="Times New Roman" w:hAnsi="Times New Roman" w:eastAsia="仿宋_GB2312" w:cs="Times New Roman"/>
          <w:color w:val="000000" w:themeColor="text1"/>
          <w:sz w:val="32"/>
          <w:szCs w:val="32"/>
          <w14:textFill>
            <w14:solidFill>
              <w14:schemeClr w14:val="tx1"/>
            </w14:solidFill>
          </w14:textFill>
        </w:rPr>
        <w:t>，形成全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“一盘棋”，发挥规划合力，确保规划实施的系统性和连续性。建立健全规划管理信息平台，跟踪监测规划实施进程，推动规划基础信息互联互通和归集共享。</w:t>
      </w:r>
    </w:p>
    <w:p w14:paraId="0998C49D">
      <w:pPr>
        <w:pStyle w:val="4"/>
        <w:keepNext w:val="0"/>
        <w:keepLines w:val="0"/>
        <w:pageBreakBefore w:val="0"/>
        <w:widowControl w:val="0"/>
        <w:kinsoku/>
        <w:wordWrap/>
        <w:overflowPunct/>
        <w:topLinePunct w:val="0"/>
        <w:autoSpaceDE/>
        <w:autoSpaceDN/>
        <w:bidi w:val="0"/>
        <w:adjustRightInd/>
        <w:snapToGrid/>
        <w:spacing w:before="0" w:after="0" w:line="240" w:lineRule="auto"/>
        <w:ind w:left="0" w:leftChars="0" w:firstLine="643" w:firstLineChars="20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第四节  完善规划实施机制</w:t>
      </w:r>
    </w:p>
    <w:p w14:paraId="19DBD795">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政府统一组织本规划的实施工作，制定规划实施方案，逐项落实目标任务</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靠</w:t>
      </w:r>
      <w:r>
        <w:rPr>
          <w:rFonts w:ascii="Times New Roman" w:hAnsi="Times New Roman" w:eastAsia="仿宋_GB2312" w:cs="Times New Roman"/>
          <w:color w:val="000000" w:themeColor="text1"/>
          <w:sz w:val="32"/>
          <w:szCs w:val="32"/>
          <w14:textFill>
            <w14:solidFill>
              <w14:schemeClr w14:val="tx1"/>
            </w14:solidFill>
          </w14:textFill>
        </w:rPr>
        <w:t>牵头单位和工作责任，明确实施进度和推进措施。强化年度计划与发展规划衔接，将发展规划确定的主要指标分解纳入年度指标体系，设置年度目标并做好年度间综合平衡，明确重大工程、重大项目、重大举措的年度实施要求。建立规划实施年度进展报告和检查巡视制度，适时组织开展专项检查，对规划确定的重点任务、重大工程、重大项目等进展情况进行定期督查和通报，强化动态管理。在规划实施中期阶段，组织开展规划中期评估，重点评估实施进展情况及存在问题，提出推进规划实施建议，评估报告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政府审定后提请</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区</w:t>
      </w:r>
      <w:r>
        <w:rPr>
          <w:rFonts w:ascii="Times New Roman" w:hAnsi="Times New Roman" w:eastAsia="仿宋_GB2312" w:cs="Times New Roman"/>
          <w:color w:val="000000" w:themeColor="text1"/>
          <w:sz w:val="32"/>
          <w:szCs w:val="32"/>
          <w14:textFill>
            <w14:solidFill>
              <w14:schemeClr w14:val="tx1"/>
            </w14:solidFill>
          </w14:textFill>
        </w:rPr>
        <w:t>人民代表大会常务委员会审议。完善规划实施监督考核机制，将规划实施情况作为政务信息公开的重要内容，及时公布实施进展，自觉接受人大监督、审计监督和社会监督。发展规划实施情况纳入各有关部门和各级领导班子、领导干部考核评价体系，探索实行规划实施考核结果与被考核责任主体绩效相挂钩。</w:t>
      </w:r>
    </w:p>
    <w:p w14:paraId="106929CB">
      <w:pPr>
        <w:pStyle w:val="4"/>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pPr>
      <w:bookmarkStart w:id="27" w:name="_Toc44604042"/>
      <w:bookmarkStart w:id="28" w:name="_Toc50566617"/>
      <w:bookmarkStart w:id="29" w:name="_Toc55593797"/>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第五节　强化政策项目支撑</w:t>
      </w:r>
      <w:bookmarkEnd w:id="27"/>
      <w:bookmarkEnd w:id="28"/>
      <w:bookmarkEnd w:id="29"/>
    </w:p>
    <w:p w14:paraId="5EBA7C47">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围绕本规划提出的目标任务，坚持规划定方向、财政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做</w:t>
      </w:r>
      <w:r>
        <w:rPr>
          <w:rFonts w:ascii="Times New Roman" w:hAnsi="Times New Roman" w:eastAsia="仿宋_GB2312" w:cs="Times New Roman"/>
          <w:color w:val="000000" w:themeColor="text1"/>
          <w:sz w:val="32"/>
          <w:szCs w:val="32"/>
          <w14:textFill>
            <w14:solidFill>
              <w14:schemeClr w14:val="tx1"/>
            </w14:solidFill>
          </w14:textFill>
        </w:rPr>
        <w:t>保障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其他政策相协调，注重政策目标与政策工具、短期政策与长期政策的衔接配合，构建发展规划、财政政策协调机制，创新和完善宏观调控方式，有效引导社会资源，合理配置公共资源。发挥重大项目对经济社会发展的关键带动作用，坚持以规划确定项目、以项目落实规划，在创新创业、对外开放、现代产业、社会民生、生态环保等领域，组织实施一批关系全局和长远发展的重大项目。完善重大项目储备机制，加强项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的</w:t>
      </w:r>
      <w:r>
        <w:rPr>
          <w:rFonts w:ascii="Times New Roman" w:hAnsi="Times New Roman" w:eastAsia="仿宋_GB2312" w:cs="Times New Roman"/>
          <w:color w:val="000000" w:themeColor="text1"/>
          <w:sz w:val="32"/>
          <w:szCs w:val="32"/>
          <w14:textFill>
            <w14:solidFill>
              <w14:schemeClr w14:val="tx1"/>
            </w14:solidFill>
          </w14:textFill>
        </w:rPr>
        <w:t>对上争取和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有效</w:t>
      </w:r>
      <w:r>
        <w:rPr>
          <w:rFonts w:ascii="Times New Roman" w:hAnsi="Times New Roman" w:eastAsia="仿宋_GB2312" w:cs="Times New Roman"/>
          <w:color w:val="000000" w:themeColor="text1"/>
          <w:sz w:val="32"/>
          <w:szCs w:val="32"/>
          <w14:textFill>
            <w14:solidFill>
              <w14:schemeClr w14:val="tx1"/>
            </w14:solidFill>
          </w14:textFill>
        </w:rPr>
        <w:t>管理，健全重大项目联动协调机制，引导各类经济资源向重大项目倾斜。建立健全重大政策项目事前评估和事后评价机制，提高项目建设和管理水平。</w:t>
      </w:r>
    </w:p>
    <w:p w14:paraId="251B3AE8">
      <w:pPr>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br w:type="page"/>
      </w:r>
    </w:p>
    <w:p w14:paraId="214010F4">
      <w:pPr>
        <w:keepNext w:val="0"/>
        <w:keepLines w:val="0"/>
        <w:pageBreakBefore w:val="0"/>
        <w:widowControl/>
        <w:kinsoku/>
        <w:wordWrap/>
        <w:overflowPunct/>
        <w:topLinePunct w:val="0"/>
        <w:autoSpaceDE/>
        <w:autoSpaceDN/>
        <w:bidi w:val="0"/>
        <w:adjustRightInd w:val="0"/>
        <w:snapToGrid w:val="0"/>
        <w:spacing w:after="0" w:line="220" w:lineRule="atLeast"/>
        <w:jc w:val="center"/>
        <w:textAlignment w:val="auto"/>
        <w:rPr>
          <w:rFonts w:hint="eastAsia" w:ascii="方正小标宋简体" w:hAnsi="黑体" w:eastAsia="方正小标宋简体"/>
          <w:color w:val="auto"/>
          <w:sz w:val="44"/>
          <w:szCs w:val="44"/>
          <w:highlight w:val="none"/>
        </w:rPr>
      </w:pPr>
      <w:r>
        <w:rPr>
          <w:rFonts w:hint="eastAsia" w:ascii="方正小标宋简体" w:hAnsi="黑体" w:eastAsia="方正小标宋简体"/>
          <w:color w:val="auto"/>
          <w:sz w:val="44"/>
          <w:szCs w:val="44"/>
          <w:highlight w:val="none"/>
        </w:rPr>
        <w:t>名词解释</w:t>
      </w:r>
    </w:p>
    <w:p w14:paraId="1728942A">
      <w:pPr>
        <w:pStyle w:val="2"/>
        <w:rPr>
          <w:rFonts w:hint="eastAsia"/>
        </w:rPr>
      </w:pPr>
    </w:p>
    <w:p w14:paraId="01774DDE">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1、一体两翼：</w:t>
      </w:r>
      <w:r>
        <w:rPr>
          <w:rFonts w:hint="eastAsia" w:ascii="仿宋_GB2312" w:hAnsi="仿宋_GB2312" w:eastAsia="仿宋_GB2312" w:cs="仿宋_GB2312"/>
          <w:sz w:val="32"/>
          <w:szCs w:val="32"/>
          <w:lang w:eastAsia="zh-CN"/>
        </w:rPr>
        <w:t>以工业立区为主体，以产业地产开发和商服业发展为两翼的爱民区特色发展思路。</w:t>
      </w:r>
    </w:p>
    <w:p w14:paraId="772142CE">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2、三篇大文章：</w:t>
      </w:r>
      <w:r>
        <w:rPr>
          <w:rFonts w:hint="eastAsia" w:ascii="仿宋_GB2312" w:hAnsi="仿宋_GB2312" w:eastAsia="仿宋_GB2312" w:cs="仿宋_GB2312"/>
          <w:sz w:val="32"/>
          <w:szCs w:val="32"/>
          <w:lang w:val="en-US" w:eastAsia="zh-CN"/>
        </w:rPr>
        <w:t>以创新驱动为引领，坚持从供给侧发力，做好</w:t>
      </w:r>
      <w:r>
        <w:rPr>
          <w:rFonts w:hint="eastAsia" w:ascii="仿宋_GB2312" w:hAnsi="仿宋_GB2312" w:eastAsia="仿宋_GB2312" w:cs="仿宋_GB2312"/>
          <w:sz w:val="32"/>
          <w:szCs w:val="32"/>
        </w:rPr>
        <w:t>改造升级“老字号”、深度开发“原字号”、培育壮大“新字号</w:t>
      </w:r>
      <w:r>
        <w:rPr>
          <w:rFonts w:hint="eastAsia" w:ascii="仿宋_GB2312" w:hAnsi="仿宋_GB2312" w:eastAsia="仿宋_GB2312" w:cs="仿宋_GB2312"/>
          <w:sz w:val="32"/>
          <w:szCs w:val="32"/>
          <w:lang w:eastAsia="zh-CN"/>
        </w:rPr>
        <w:t>”三篇大文章</w:t>
      </w:r>
      <w:r>
        <w:rPr>
          <w:rFonts w:hint="eastAsia" w:ascii="仿宋_GB2312" w:hAnsi="仿宋_GB2312" w:eastAsia="仿宋_GB2312" w:cs="仿宋_GB2312"/>
          <w:sz w:val="32"/>
          <w:szCs w:val="32"/>
        </w:rPr>
        <w:t>。</w:t>
      </w:r>
    </w:p>
    <w:p w14:paraId="53956853">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3、六个一批：</w:t>
      </w:r>
      <w:r>
        <w:rPr>
          <w:rFonts w:hint="eastAsia" w:ascii="仿宋_GB2312" w:hAnsi="仿宋_GB2312" w:eastAsia="仿宋_GB2312" w:cs="仿宋_GB2312"/>
          <w:sz w:val="32"/>
          <w:szCs w:val="32"/>
        </w:rPr>
        <w:t>招引盘活一批停产、半停产</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产业转型一批工艺落后、产能过剩</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扩能改造一批市场空间广、科技含量高的企业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裂变扩张一批产业优势明显、发展潜力较大的企业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组团发展一批厂区面积大、配套设施全的企业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转移重生一批发展空间受限、市场前景好的企业。</w:t>
      </w:r>
    </w:p>
    <w:p w14:paraId="16A63C98">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三个三计划：</w:t>
      </w:r>
      <w:r>
        <w:rPr>
          <w:rFonts w:hint="eastAsia" w:ascii="仿宋_GB2312" w:hAnsi="仿宋_GB2312" w:eastAsia="仿宋_GB2312" w:cs="仿宋_GB2312"/>
          <w:sz w:val="32"/>
          <w:szCs w:val="32"/>
        </w:rPr>
        <w:t>盘活企业闲置厂房场地30万平方米以上，培育扶持成长型企业30户以上，加快推进大庆路新型工业园</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、八达产业聚集</w:t>
      </w:r>
      <w:r>
        <w:rPr>
          <w:rFonts w:hint="eastAsia" w:ascii="仿宋_GB2312" w:hAnsi="仿宋_GB2312" w:eastAsia="仿宋_GB2312" w:cs="仿宋_GB2312"/>
          <w:sz w:val="32"/>
          <w:szCs w:val="32"/>
          <w:lang w:eastAsia="zh-CN"/>
        </w:rPr>
        <w:t>园</w:t>
      </w:r>
      <w:r>
        <w:rPr>
          <w:rFonts w:hint="eastAsia" w:ascii="仿宋_GB2312" w:hAnsi="仿宋_GB2312" w:eastAsia="仿宋_GB2312" w:cs="仿宋_GB2312"/>
          <w:sz w:val="32"/>
          <w:szCs w:val="32"/>
        </w:rPr>
        <w:t>区和小微</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园区</w:t>
      </w:r>
      <w:r>
        <w:rPr>
          <w:rFonts w:hint="eastAsia" w:ascii="仿宋_GB2312" w:hAnsi="仿宋_GB2312" w:eastAsia="仿宋_GB2312" w:cs="仿宋_GB2312"/>
          <w:sz w:val="32"/>
          <w:szCs w:val="32"/>
          <w:lang w:val="en-US" w:eastAsia="zh-CN"/>
        </w:rPr>
        <w:t>3个园区</w:t>
      </w:r>
      <w:r>
        <w:rPr>
          <w:rFonts w:hint="eastAsia" w:ascii="仿宋_GB2312" w:hAnsi="仿宋_GB2312" w:eastAsia="仿宋_GB2312" w:cs="仿宋_GB2312"/>
          <w:sz w:val="32"/>
          <w:szCs w:val="32"/>
        </w:rPr>
        <w:t>发展</w:t>
      </w:r>
      <w:r>
        <w:rPr>
          <w:rFonts w:hint="eastAsia" w:ascii="仿宋_GB2312" w:hAnsi="仿宋_GB2312" w:eastAsia="仿宋_GB2312" w:cs="仿宋_GB2312"/>
          <w:sz w:val="32"/>
          <w:szCs w:val="32"/>
          <w:lang w:eastAsia="zh-CN"/>
        </w:rPr>
        <w:t>。</w:t>
      </w:r>
    </w:p>
    <w:p w14:paraId="7330C1D6">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5、一核多点：</w:t>
      </w:r>
      <w:r>
        <w:rPr>
          <w:rFonts w:hint="eastAsia" w:ascii="仿宋_GB2312" w:hAnsi="仿宋_GB2312" w:eastAsia="仿宋_GB2312" w:cs="仿宋_GB2312"/>
          <w:sz w:val="32"/>
          <w:szCs w:val="32"/>
          <w:lang w:val="en-US" w:eastAsia="zh-CN"/>
        </w:rPr>
        <w:t>积极打造月星环球港为核心功能区，依托新华路、兴平路、北安路和文化街的商业业态，重点建设氛围浓厚、差异消费、特色明显、产业融合的区域经济新增长点。 </w:t>
      </w:r>
    </w:p>
    <w:p w14:paraId="698FE0B1">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6、低保六精准：</w:t>
      </w:r>
      <w:r>
        <w:rPr>
          <w:rFonts w:hint="eastAsia" w:ascii="仿宋_GB2312" w:hAnsi="仿宋_GB2312" w:eastAsia="仿宋_GB2312" w:cs="仿宋_GB2312"/>
          <w:sz w:val="32"/>
          <w:szCs w:val="32"/>
          <w:lang w:val="en-US" w:eastAsia="zh-CN"/>
        </w:rPr>
        <w:t>扶贫对象精准、措施到户精准、项目安排精准、资金使用精准、因村派人（第一书记）精准、脱贫成效精准。</w:t>
      </w:r>
    </w:p>
    <w:p w14:paraId="7D860024">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放管服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是</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"https://baike.so.com/doc/6670592-6884432.html" \t "https://baike.so.com/doc/_blank"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简政放权</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、放管结合、优化服务的简称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即简政放权，降低准入门槛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即创新监管，促进公平竞争。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即高效服务，营造便利环境。</w:t>
      </w:r>
    </w:p>
    <w:p w14:paraId="58B7811F">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8、四零承诺：</w:t>
      </w:r>
      <w:r>
        <w:rPr>
          <w:rFonts w:hint="eastAsia" w:ascii="仿宋_GB2312" w:hAnsi="仿宋_GB2312" w:eastAsia="仿宋_GB2312" w:cs="仿宋_GB2312"/>
          <w:sz w:val="32"/>
          <w:szCs w:val="32"/>
          <w:lang w:val="en-US" w:eastAsia="zh-CN"/>
        </w:rPr>
        <w:t>服务受理零推诿、服务方式零距离、服务质量零差错、服务结果零投诉。</w:t>
      </w:r>
    </w:p>
    <w:p w14:paraId="0B985BB0">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两不愁三保障：</w:t>
      </w:r>
      <w:r>
        <w:rPr>
          <w:rFonts w:hint="eastAsia" w:ascii="仿宋_GB2312" w:hAnsi="仿宋_GB2312" w:eastAsia="仿宋_GB2312" w:cs="仿宋_GB2312"/>
          <w:sz w:val="32"/>
          <w:szCs w:val="32"/>
        </w:rPr>
        <w:t>稳定实现扶贫对象不愁吃、不愁穿，保障其义务教育、基本医疗和住房。</w:t>
      </w:r>
    </w:p>
    <w:p w14:paraId="533A4EA4">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lang w:eastAsia="zh-CN"/>
        </w:rPr>
        <w:t>河湖清四乱</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集中清理整治乱占、乱采、乱堆、乱建等突出问题。</w:t>
      </w:r>
    </w:p>
    <w:p w14:paraId="711C5962">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11、双随机一公开：</w:t>
      </w:r>
      <w:r>
        <w:rPr>
          <w:rFonts w:hint="eastAsia" w:ascii="仿宋_GB2312" w:hAnsi="仿宋_GB2312" w:eastAsia="仿宋_GB2312" w:cs="仿宋_GB2312"/>
          <w:sz w:val="32"/>
          <w:szCs w:val="32"/>
        </w:rPr>
        <w:t>在监管过程中随机抽取检查对象，随机选派执法检查人员，抽查情况及查处结果及时向社会公开。</w:t>
      </w:r>
    </w:p>
    <w:p w14:paraId="4374D995">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lang w:eastAsia="zh-CN"/>
        </w:rPr>
        <w:t>六个强省</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eastAsia="zh-CN"/>
        </w:rPr>
        <w:t>工业强省、农业强省、科教强省、生态强省、文化强省、旅游强省。</w:t>
      </w:r>
    </w:p>
    <w:p w14:paraId="3484B32F">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13、百千万工程：</w:t>
      </w:r>
      <w:r>
        <w:rPr>
          <w:rFonts w:hint="eastAsia" w:ascii="仿宋_GB2312" w:hAnsi="仿宋_GB2312" w:eastAsia="仿宋_GB2312" w:cs="仿宋_GB2312"/>
          <w:sz w:val="32"/>
          <w:szCs w:val="32"/>
          <w:lang w:val="en-US" w:eastAsia="zh-CN"/>
        </w:rPr>
        <w:t>工业强省工程，即着力培育打造一批百亿级企业、千亿级产业和园区、万亿级产业集群。</w:t>
      </w:r>
    </w:p>
    <w:p w14:paraId="2DF146AB">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14、四个全面：</w:t>
      </w:r>
      <w:r>
        <w:rPr>
          <w:rFonts w:hint="eastAsia" w:ascii="仿宋_GB2312" w:hAnsi="仿宋_GB2312" w:eastAsia="仿宋_GB2312" w:cs="仿宋_GB2312"/>
          <w:sz w:val="32"/>
          <w:szCs w:val="32"/>
          <w:lang w:val="en-US" w:eastAsia="zh-CN"/>
        </w:rPr>
        <w:t>全面建设社会主义现代化国家，全面深化改革，全面依法治国，全面从严治党。</w:t>
      </w:r>
    </w:p>
    <w:p w14:paraId="10C9E8EC">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b/>
          <w:bCs/>
          <w:sz w:val="32"/>
          <w:szCs w:val="32"/>
          <w:lang w:val="en-US" w:eastAsia="zh-CN"/>
        </w:rPr>
      </w:pPr>
    </w:p>
    <w:p w14:paraId="4569D4B8">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15、</w:t>
      </w:r>
      <w:r>
        <w:rPr>
          <w:rFonts w:hint="eastAsia" w:ascii="仿宋_GB2312" w:hAnsi="仿宋_GB2312" w:eastAsia="仿宋_GB2312" w:cs="仿宋_GB2312"/>
          <w:b/>
          <w:bCs/>
          <w:sz w:val="32"/>
          <w:szCs w:val="32"/>
        </w:rPr>
        <w:t>四个意识：</w:t>
      </w:r>
      <w:r>
        <w:rPr>
          <w:rFonts w:hint="eastAsia" w:ascii="仿宋_GB2312" w:hAnsi="仿宋_GB2312" w:eastAsia="仿宋_GB2312" w:cs="仿宋_GB2312"/>
          <w:sz w:val="32"/>
          <w:szCs w:val="32"/>
        </w:rPr>
        <w:t xml:space="preserve"> 政治意识、大局意识、核心意识、看齐意识。</w:t>
      </w:r>
    </w:p>
    <w:p w14:paraId="3AAE63B5">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16、</w:t>
      </w:r>
      <w:r>
        <w:rPr>
          <w:rFonts w:hint="eastAsia" w:ascii="仿宋_GB2312" w:hAnsi="仿宋_GB2312" w:eastAsia="仿宋_GB2312" w:cs="仿宋_GB2312"/>
          <w:b/>
          <w:bCs/>
          <w:sz w:val="32"/>
          <w:szCs w:val="32"/>
        </w:rPr>
        <w:t>四个自信：</w:t>
      </w:r>
      <w:r>
        <w:rPr>
          <w:rFonts w:hint="eastAsia" w:ascii="仿宋_GB2312" w:hAnsi="仿宋_GB2312" w:eastAsia="仿宋_GB2312" w:cs="仿宋_GB2312"/>
          <w:sz w:val="32"/>
          <w:szCs w:val="32"/>
        </w:rPr>
        <w:t xml:space="preserve"> 道路自信、理论自信、制度自信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文化自信。</w:t>
      </w:r>
    </w:p>
    <w:p w14:paraId="0F793755">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17、</w:t>
      </w:r>
      <w:r>
        <w:rPr>
          <w:rFonts w:hint="eastAsia" w:ascii="仿宋_GB2312" w:hAnsi="仿宋_GB2312" w:eastAsia="仿宋_GB2312" w:cs="仿宋_GB2312"/>
          <w:b/>
          <w:bCs/>
          <w:sz w:val="32"/>
          <w:szCs w:val="32"/>
        </w:rPr>
        <w:t xml:space="preserve">两个维护： </w:t>
      </w:r>
      <w:r>
        <w:rPr>
          <w:rFonts w:hint="eastAsia" w:ascii="仿宋_GB2312" w:hAnsi="仿宋_GB2312" w:eastAsia="仿宋_GB2312" w:cs="仿宋_GB2312"/>
          <w:sz w:val="32"/>
          <w:szCs w:val="32"/>
        </w:rPr>
        <w:t>坚决维护习近平总书记党中央核心、全党核心地位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坚决维护党中央的权威和集中统一领导。</w:t>
      </w:r>
    </w:p>
    <w:p w14:paraId="093F9519">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18、四个厚植：</w:t>
      </w:r>
      <w:r>
        <w:rPr>
          <w:rFonts w:hint="eastAsia" w:ascii="仿宋_GB2312" w:hAnsi="仿宋_GB2312" w:eastAsia="仿宋_GB2312" w:cs="仿宋_GB2312"/>
          <w:sz w:val="32"/>
          <w:szCs w:val="32"/>
          <w:lang w:val="en-US" w:eastAsia="zh-CN"/>
        </w:rPr>
        <w:t>厚植双循环中的“东北通衢”枢纽功能，厚植扩大内需战略中的特色农业供给优势，厚植提高生活品质中的全域旅游底蕴根基，厚植统筹发展和安全中的兴边固防屏障。</w:t>
      </w:r>
    </w:p>
    <w:p w14:paraId="1431ADC3">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19、八个新成效：</w:t>
      </w:r>
      <w:r>
        <w:rPr>
          <w:rFonts w:hint="eastAsia" w:ascii="仿宋_GB2312" w:hAnsi="仿宋_GB2312" w:eastAsia="仿宋_GB2312" w:cs="仿宋_GB2312"/>
          <w:sz w:val="32"/>
          <w:szCs w:val="32"/>
          <w:lang w:val="en-US" w:eastAsia="zh-CN"/>
        </w:rPr>
        <w:t>现代产业建设、创新驱动发展、深化改革开放、城乡协调发展、生态文明建设、社会文明提高、民生福祉改善、治理效能提升等八个方面取得新成效。</w:t>
      </w:r>
    </w:p>
    <w:p w14:paraId="1BB130D5">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20、六大工程：</w:t>
      </w:r>
      <w:r>
        <w:rPr>
          <w:rFonts w:hint="eastAsia" w:ascii="仿宋_GB2312" w:hAnsi="仿宋_GB2312" w:eastAsia="仿宋_GB2312" w:cs="仿宋_GB2312"/>
          <w:b w:val="0"/>
          <w:bCs w:val="0"/>
          <w:sz w:val="32"/>
          <w:szCs w:val="32"/>
          <w:lang w:val="en-US" w:eastAsia="zh-CN"/>
        </w:rPr>
        <w:t>爱民区</w:t>
      </w:r>
      <w:r>
        <w:rPr>
          <w:rFonts w:hint="eastAsia" w:ascii="仿宋_GB2312" w:hAnsi="仿宋_GB2312" w:eastAsia="仿宋_GB2312" w:cs="仿宋_GB2312"/>
          <w:sz w:val="32"/>
          <w:szCs w:val="32"/>
          <w:lang w:eastAsia="zh-CN"/>
        </w:rPr>
        <w:t>产业项目攻坚工程，工业转型升级工程，商贸短板提升工程，农业产业富民工程，全民创新创业工程，民生保障改善工程。</w:t>
      </w:r>
    </w:p>
    <w:p w14:paraId="73E11966">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21、两头两尾：</w:t>
      </w:r>
      <w:r>
        <w:rPr>
          <w:rFonts w:hint="eastAsia" w:ascii="仿宋_GB2312" w:hAnsi="仿宋_GB2312" w:eastAsia="仿宋_GB2312" w:cs="仿宋_GB2312"/>
          <w:sz w:val="32"/>
          <w:szCs w:val="32"/>
          <w:lang w:val="en-US" w:eastAsia="zh-CN"/>
        </w:rPr>
        <w:t>即绿色食品的粮头食尾、农头工尾。</w:t>
      </w:r>
    </w:p>
    <w:p w14:paraId="44C157BF">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22、一带一园一厅：</w:t>
      </w:r>
      <w:r>
        <w:rPr>
          <w:rFonts w:hint="eastAsia" w:ascii="仿宋_GB2312" w:hAnsi="仿宋_GB2312" w:eastAsia="仿宋_GB2312" w:cs="仿宋_GB2312"/>
          <w:sz w:val="32"/>
          <w:szCs w:val="32"/>
          <w:lang w:val="en-US" w:eastAsia="zh-CN"/>
        </w:rPr>
        <w:t>打造乡村“景观带”、打造城市“后花园”、打造城区“会客厅”。</w:t>
      </w:r>
    </w:p>
    <w:p w14:paraId="2875E8FD">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23、3宝6味12香品牌：</w:t>
      </w:r>
      <w:r>
        <w:rPr>
          <w:rFonts w:hint="eastAsia" w:ascii="仿宋_GB2312" w:hAnsi="仿宋_GB2312" w:eastAsia="仿宋_GB2312" w:cs="仿宋_GB2312"/>
          <w:sz w:val="32"/>
          <w:szCs w:val="32"/>
          <w:lang w:val="en-US" w:eastAsia="zh-CN"/>
        </w:rPr>
        <w:t>“3宝”即熊胆、鹿茸、林蛙，“6味”即人参、刺五加、北五味、黄芪、白鲜皮、北苍术”，“12香”即桔梗、龙胆、月见草、火麻仁、平贝、防风、蒲公英、赤芍、玉竹、苏子、沙棘、蜂蜜。</w:t>
      </w:r>
    </w:p>
    <w:p w14:paraId="38C0C899">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24、四级四同：</w:t>
      </w:r>
      <w:r>
        <w:rPr>
          <w:rFonts w:hint="eastAsia" w:ascii="仿宋_GB2312" w:hAnsi="仿宋_GB2312" w:eastAsia="仿宋_GB2312" w:cs="仿宋_GB2312"/>
          <w:sz w:val="32"/>
          <w:szCs w:val="32"/>
          <w:lang w:val="en-US" w:eastAsia="zh-CN"/>
        </w:rPr>
        <w:t>“四级”为国家、省、市、县，“四同”指事项名称、事项编码、事项类型、设定依据相同。</w:t>
      </w:r>
    </w:p>
    <w:p w14:paraId="0681FAF7">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25、一核一区三带：</w:t>
      </w:r>
      <w:r>
        <w:rPr>
          <w:rFonts w:hint="eastAsia" w:ascii="仿宋_GB2312" w:hAnsi="仿宋_GB2312" w:eastAsia="仿宋_GB2312" w:cs="仿宋_GB2312"/>
          <w:sz w:val="32"/>
          <w:szCs w:val="32"/>
          <w:lang w:val="en-US" w:eastAsia="zh-CN"/>
        </w:rPr>
        <w:t>“一核”指牡宁海（牡丹江市-宁安市-海林市）城市圈，“一区”指山水生态区，“三带”指G10国道沿线经济带、G11国道沿线经济带、绥东沿边经济带。</w:t>
      </w:r>
    </w:p>
    <w:p w14:paraId="3E6CC845">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26、五有一网格：</w:t>
      </w:r>
      <w:r>
        <w:rPr>
          <w:rFonts w:hint="eastAsia" w:ascii="仿宋_GB2312" w:hAnsi="仿宋_GB2312" w:eastAsia="仿宋_GB2312" w:cs="仿宋_GB2312"/>
          <w:sz w:val="32"/>
          <w:szCs w:val="32"/>
          <w:lang w:val="en-US" w:eastAsia="zh-CN"/>
        </w:rPr>
        <w:t>有疫情防控指南、有防控管理制度和责任人、有适量防护物资储备、有属地医疗卫生力量指导支持、有隔离场所和转运安排准备，实施网格化管理。</w:t>
      </w:r>
    </w:p>
    <w:p w14:paraId="3C3A7CF2">
      <w:pPr>
        <w:pStyle w:val="2"/>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lang w:val="en-US" w:eastAsia="zh-CN"/>
        </w:rPr>
      </w:pPr>
      <w:r>
        <w:rPr>
          <w:rFonts w:hint="eastAsia" w:ascii="仿宋_GB2312" w:hAnsi="仿宋_GB2312" w:eastAsia="仿宋_GB2312" w:cs="仿宋_GB2312"/>
          <w:b/>
          <w:bCs/>
          <w:sz w:val="32"/>
          <w:szCs w:val="32"/>
          <w:lang w:val="en-US" w:eastAsia="zh-CN" w:bidi="ar-SA"/>
        </w:rPr>
        <w:t>27、四项安全：</w:t>
      </w:r>
      <w:r>
        <w:rPr>
          <w:rFonts w:hint="eastAsia" w:ascii="仿宋_GB2312" w:hAnsi="仿宋_GB2312" w:eastAsia="仿宋_GB2312" w:cs="仿宋_GB2312"/>
          <w:sz w:val="32"/>
          <w:szCs w:val="32"/>
          <w:lang w:val="en-US" w:eastAsia="zh-CN" w:bidi="ar-SA"/>
        </w:rPr>
        <w:t>食品安全、药品安全、特种设备安全、产品质量安全。</w:t>
      </w:r>
    </w:p>
    <w:p w14:paraId="20E079A9">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28、三访一包：</w:t>
      </w:r>
      <w:r>
        <w:rPr>
          <w:rFonts w:hint="eastAsia" w:ascii="仿宋_GB2312" w:hAnsi="仿宋_GB2312" w:eastAsia="仿宋_GB2312" w:cs="仿宋_GB2312"/>
          <w:sz w:val="32"/>
          <w:szCs w:val="32"/>
        </w:rPr>
        <w:t>定点接访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带案下访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联合约访</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领导包案。</w:t>
      </w:r>
    </w:p>
    <w:p w14:paraId="6DD3907B">
      <w:pPr>
        <w:keepNext w:val="0"/>
        <w:keepLines w:val="0"/>
        <w:pageBreakBefore w:val="0"/>
        <w:widowControl/>
        <w:kinsoku/>
        <w:wordWrap/>
        <w:overflowPunct/>
        <w:topLinePunct w:val="0"/>
        <w:autoSpaceDE/>
        <w:autoSpaceDN/>
        <w:bidi w:val="0"/>
        <w:adjustRightInd w:val="0"/>
        <w:snapToGrid w:val="0"/>
        <w:spacing w:after="0" w:line="36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29、</w:t>
      </w:r>
      <w:r>
        <w:rPr>
          <w:rFonts w:hint="eastAsia" w:ascii="仿宋_GB2312" w:hAnsi="仿宋_GB2312" w:eastAsia="仿宋_GB2312" w:cs="仿宋_GB2312"/>
          <w:b/>
          <w:bCs/>
          <w:sz w:val="32"/>
          <w:szCs w:val="32"/>
          <w:lang w:eastAsia="zh-CN"/>
        </w:rPr>
        <w:t>三个区分开来</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把因缺乏经验先行先试出现的失误与明知故犯行为区分开来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把国家尚无明确规定时的探索性试验与国家明令禁止后的有规不依行为区分开来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把为推动改革的无意过失与为谋取私利的故意行为区分开</w:t>
      </w:r>
      <w:r>
        <w:rPr>
          <w:rFonts w:hint="eastAsia" w:ascii="仿宋_GB2312" w:hAnsi="仿宋_GB2312" w:eastAsia="仿宋_GB2312" w:cs="仿宋_GB2312"/>
          <w:sz w:val="32"/>
          <w:szCs w:val="32"/>
          <w:lang w:eastAsia="zh-CN"/>
        </w:rPr>
        <w:t>来。</w:t>
      </w:r>
    </w:p>
    <w:p w14:paraId="6F16DD3D">
      <w:pPr>
        <w:pStyle w:val="2"/>
      </w:pPr>
    </w:p>
    <w:p w14:paraId="10118EAD">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both"/>
        <w:textAlignment w:val="auto"/>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8AC7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239121">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F239121">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EAE5B">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348A2">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18348A2">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3E9D9"/>
    <w:multiLevelType w:val="singleLevel"/>
    <w:tmpl w:val="80A3E9D9"/>
    <w:lvl w:ilvl="0" w:tentative="0">
      <w:start w:val="1"/>
      <w:numFmt w:val="chineseCounting"/>
      <w:suff w:val="space"/>
      <w:lvlText w:val="第%1章"/>
      <w:lvlJc w:val="left"/>
      <w:rPr>
        <w:rFonts w:hint="eastAsia"/>
      </w:rPr>
    </w:lvl>
  </w:abstractNum>
  <w:abstractNum w:abstractNumId="1">
    <w:nsid w:val="867639D1"/>
    <w:multiLevelType w:val="singleLevel"/>
    <w:tmpl w:val="867639D1"/>
    <w:lvl w:ilvl="0" w:tentative="0">
      <w:start w:val="1"/>
      <w:numFmt w:val="chineseCounting"/>
      <w:suff w:val="space"/>
      <w:lvlText w:val="第%1节"/>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Dg1Njc2NDE1OWY4Mzk4NDdjYTdhMWZkZjc1ZTUifQ=="/>
  </w:docVars>
  <w:rsids>
    <w:rsidRoot w:val="1AAE37B7"/>
    <w:rsid w:val="00157470"/>
    <w:rsid w:val="00257B4F"/>
    <w:rsid w:val="00765EED"/>
    <w:rsid w:val="00902D10"/>
    <w:rsid w:val="009F2F6C"/>
    <w:rsid w:val="01195370"/>
    <w:rsid w:val="01404B64"/>
    <w:rsid w:val="015F5F94"/>
    <w:rsid w:val="017244DC"/>
    <w:rsid w:val="0177784B"/>
    <w:rsid w:val="017A7C55"/>
    <w:rsid w:val="01B50CB2"/>
    <w:rsid w:val="01DA30F7"/>
    <w:rsid w:val="01DE7C7A"/>
    <w:rsid w:val="022334FA"/>
    <w:rsid w:val="02273048"/>
    <w:rsid w:val="022E1164"/>
    <w:rsid w:val="02C67132"/>
    <w:rsid w:val="03320671"/>
    <w:rsid w:val="0352049A"/>
    <w:rsid w:val="03992BAD"/>
    <w:rsid w:val="03B84F90"/>
    <w:rsid w:val="03C66A91"/>
    <w:rsid w:val="04075ED4"/>
    <w:rsid w:val="04702582"/>
    <w:rsid w:val="048928DF"/>
    <w:rsid w:val="04CF294B"/>
    <w:rsid w:val="04D250AB"/>
    <w:rsid w:val="04D3672C"/>
    <w:rsid w:val="05194078"/>
    <w:rsid w:val="057B026E"/>
    <w:rsid w:val="05CC1988"/>
    <w:rsid w:val="05F92511"/>
    <w:rsid w:val="060E1888"/>
    <w:rsid w:val="06262329"/>
    <w:rsid w:val="06732C9E"/>
    <w:rsid w:val="06804975"/>
    <w:rsid w:val="06C75089"/>
    <w:rsid w:val="06EF6DFB"/>
    <w:rsid w:val="06F5509D"/>
    <w:rsid w:val="06F77A59"/>
    <w:rsid w:val="072832EB"/>
    <w:rsid w:val="07816406"/>
    <w:rsid w:val="07F87DC8"/>
    <w:rsid w:val="08660260"/>
    <w:rsid w:val="089245A5"/>
    <w:rsid w:val="08970D2F"/>
    <w:rsid w:val="08CE57BC"/>
    <w:rsid w:val="08D05D95"/>
    <w:rsid w:val="08F966FB"/>
    <w:rsid w:val="09051DE0"/>
    <w:rsid w:val="092D5679"/>
    <w:rsid w:val="0977253A"/>
    <w:rsid w:val="099414E8"/>
    <w:rsid w:val="09A87253"/>
    <w:rsid w:val="0A487EE6"/>
    <w:rsid w:val="0A7B1256"/>
    <w:rsid w:val="0A9A4F4C"/>
    <w:rsid w:val="0AB314D3"/>
    <w:rsid w:val="0AB53D82"/>
    <w:rsid w:val="0AC06DD0"/>
    <w:rsid w:val="0AC34E68"/>
    <w:rsid w:val="0AF7120A"/>
    <w:rsid w:val="0B020F9E"/>
    <w:rsid w:val="0B1D392A"/>
    <w:rsid w:val="0B276910"/>
    <w:rsid w:val="0B28112B"/>
    <w:rsid w:val="0B36384C"/>
    <w:rsid w:val="0B3D1EA4"/>
    <w:rsid w:val="0B4247BB"/>
    <w:rsid w:val="0B462A6E"/>
    <w:rsid w:val="0B562E27"/>
    <w:rsid w:val="0BA23D3C"/>
    <w:rsid w:val="0BBC7CC1"/>
    <w:rsid w:val="0BFE2489"/>
    <w:rsid w:val="0C655F98"/>
    <w:rsid w:val="0C7D688C"/>
    <w:rsid w:val="0CAA2425"/>
    <w:rsid w:val="0CB97E03"/>
    <w:rsid w:val="0CC044DF"/>
    <w:rsid w:val="0CD15D5C"/>
    <w:rsid w:val="0CFF6D36"/>
    <w:rsid w:val="0D0903AE"/>
    <w:rsid w:val="0D2B2F35"/>
    <w:rsid w:val="0D2E6F24"/>
    <w:rsid w:val="0D3C101E"/>
    <w:rsid w:val="0D8A0A8E"/>
    <w:rsid w:val="0E633E8A"/>
    <w:rsid w:val="0E8841AD"/>
    <w:rsid w:val="0E98273A"/>
    <w:rsid w:val="0EA922A5"/>
    <w:rsid w:val="0EAB606E"/>
    <w:rsid w:val="0EDF71ED"/>
    <w:rsid w:val="0EEB4FF2"/>
    <w:rsid w:val="0F10623C"/>
    <w:rsid w:val="0F4D1668"/>
    <w:rsid w:val="0F5D60B5"/>
    <w:rsid w:val="0FB40B91"/>
    <w:rsid w:val="0FC56C6D"/>
    <w:rsid w:val="0FD8593B"/>
    <w:rsid w:val="0FD96214"/>
    <w:rsid w:val="0FDD50E9"/>
    <w:rsid w:val="103260C6"/>
    <w:rsid w:val="108F2DAB"/>
    <w:rsid w:val="10991CEB"/>
    <w:rsid w:val="11011455"/>
    <w:rsid w:val="112B000D"/>
    <w:rsid w:val="113D300B"/>
    <w:rsid w:val="114028F0"/>
    <w:rsid w:val="11466C1B"/>
    <w:rsid w:val="11AB6B87"/>
    <w:rsid w:val="12034472"/>
    <w:rsid w:val="122457DF"/>
    <w:rsid w:val="12250B0C"/>
    <w:rsid w:val="1264709E"/>
    <w:rsid w:val="12770436"/>
    <w:rsid w:val="12942B0E"/>
    <w:rsid w:val="131C0B80"/>
    <w:rsid w:val="13463FAD"/>
    <w:rsid w:val="13B746D9"/>
    <w:rsid w:val="13BB66F5"/>
    <w:rsid w:val="13FC05F8"/>
    <w:rsid w:val="143354E1"/>
    <w:rsid w:val="14875F86"/>
    <w:rsid w:val="149E2550"/>
    <w:rsid w:val="14A92D3B"/>
    <w:rsid w:val="14AC2D4C"/>
    <w:rsid w:val="14F518CE"/>
    <w:rsid w:val="150E0DB2"/>
    <w:rsid w:val="155708E6"/>
    <w:rsid w:val="155C1B27"/>
    <w:rsid w:val="158E706C"/>
    <w:rsid w:val="15B06646"/>
    <w:rsid w:val="161223EE"/>
    <w:rsid w:val="16192910"/>
    <w:rsid w:val="162652EC"/>
    <w:rsid w:val="16FD4BC4"/>
    <w:rsid w:val="17154AEB"/>
    <w:rsid w:val="17400731"/>
    <w:rsid w:val="175104E7"/>
    <w:rsid w:val="17695890"/>
    <w:rsid w:val="17832E3A"/>
    <w:rsid w:val="17AB0044"/>
    <w:rsid w:val="17D04E71"/>
    <w:rsid w:val="17E1049C"/>
    <w:rsid w:val="18062CF9"/>
    <w:rsid w:val="18485263"/>
    <w:rsid w:val="185E3210"/>
    <w:rsid w:val="188E00A2"/>
    <w:rsid w:val="1893395D"/>
    <w:rsid w:val="18B04846"/>
    <w:rsid w:val="18B70C9E"/>
    <w:rsid w:val="18CC0122"/>
    <w:rsid w:val="18E3362C"/>
    <w:rsid w:val="19395DEC"/>
    <w:rsid w:val="1950215E"/>
    <w:rsid w:val="19E70B4E"/>
    <w:rsid w:val="1A0E7DDB"/>
    <w:rsid w:val="1A3C5AF3"/>
    <w:rsid w:val="1A3E45CA"/>
    <w:rsid w:val="1A4D7FCD"/>
    <w:rsid w:val="1A5E5F0E"/>
    <w:rsid w:val="1AA75FEB"/>
    <w:rsid w:val="1AAE37B7"/>
    <w:rsid w:val="1AD16611"/>
    <w:rsid w:val="1AF031A1"/>
    <w:rsid w:val="1B64736E"/>
    <w:rsid w:val="1B775277"/>
    <w:rsid w:val="1BA963CB"/>
    <w:rsid w:val="1C815578"/>
    <w:rsid w:val="1CB71DF0"/>
    <w:rsid w:val="1CB91107"/>
    <w:rsid w:val="1D065D9E"/>
    <w:rsid w:val="1D345E5F"/>
    <w:rsid w:val="1D633A9D"/>
    <w:rsid w:val="1D734C43"/>
    <w:rsid w:val="1DC80BE7"/>
    <w:rsid w:val="1DD31E42"/>
    <w:rsid w:val="1E1F396B"/>
    <w:rsid w:val="1E2A5D46"/>
    <w:rsid w:val="1E3B4BF1"/>
    <w:rsid w:val="1E471EDA"/>
    <w:rsid w:val="1E665CCB"/>
    <w:rsid w:val="1E9F030E"/>
    <w:rsid w:val="1EE07466"/>
    <w:rsid w:val="1EE207DD"/>
    <w:rsid w:val="1EE5429F"/>
    <w:rsid w:val="1EF265DB"/>
    <w:rsid w:val="1F581F3D"/>
    <w:rsid w:val="1F7C55D2"/>
    <w:rsid w:val="1F7F3593"/>
    <w:rsid w:val="1F8E1A9F"/>
    <w:rsid w:val="1FB675E5"/>
    <w:rsid w:val="1FB715DD"/>
    <w:rsid w:val="20D20CEE"/>
    <w:rsid w:val="20D77674"/>
    <w:rsid w:val="20EA417C"/>
    <w:rsid w:val="21034072"/>
    <w:rsid w:val="21313B79"/>
    <w:rsid w:val="21CE0C1A"/>
    <w:rsid w:val="220E045B"/>
    <w:rsid w:val="22122553"/>
    <w:rsid w:val="2219236A"/>
    <w:rsid w:val="22413305"/>
    <w:rsid w:val="225C0A04"/>
    <w:rsid w:val="229150BA"/>
    <w:rsid w:val="22D76190"/>
    <w:rsid w:val="22EF5D81"/>
    <w:rsid w:val="22F85FCB"/>
    <w:rsid w:val="234D7BB3"/>
    <w:rsid w:val="235743EE"/>
    <w:rsid w:val="23737144"/>
    <w:rsid w:val="237C1CB0"/>
    <w:rsid w:val="23822849"/>
    <w:rsid w:val="24026E7E"/>
    <w:rsid w:val="241D3BD0"/>
    <w:rsid w:val="2450301E"/>
    <w:rsid w:val="245A0C24"/>
    <w:rsid w:val="246D60B8"/>
    <w:rsid w:val="248900D1"/>
    <w:rsid w:val="24961420"/>
    <w:rsid w:val="24A3505F"/>
    <w:rsid w:val="24A40E8E"/>
    <w:rsid w:val="24A60F5E"/>
    <w:rsid w:val="24B079A3"/>
    <w:rsid w:val="24DF2FF6"/>
    <w:rsid w:val="25553B72"/>
    <w:rsid w:val="256D36C1"/>
    <w:rsid w:val="26085AEC"/>
    <w:rsid w:val="26085CB7"/>
    <w:rsid w:val="262F347A"/>
    <w:rsid w:val="26663F69"/>
    <w:rsid w:val="26710520"/>
    <w:rsid w:val="26834BBD"/>
    <w:rsid w:val="26A11352"/>
    <w:rsid w:val="26D110E1"/>
    <w:rsid w:val="26E062AD"/>
    <w:rsid w:val="27193B09"/>
    <w:rsid w:val="27285475"/>
    <w:rsid w:val="274F0878"/>
    <w:rsid w:val="27974DED"/>
    <w:rsid w:val="27A271D3"/>
    <w:rsid w:val="27B0358A"/>
    <w:rsid w:val="27C24928"/>
    <w:rsid w:val="28070EC8"/>
    <w:rsid w:val="284B7DA2"/>
    <w:rsid w:val="286A1F36"/>
    <w:rsid w:val="28C82EE7"/>
    <w:rsid w:val="28FE6750"/>
    <w:rsid w:val="292C60F0"/>
    <w:rsid w:val="294C2D0D"/>
    <w:rsid w:val="29774384"/>
    <w:rsid w:val="298D6C4C"/>
    <w:rsid w:val="299264A2"/>
    <w:rsid w:val="29AB0D3E"/>
    <w:rsid w:val="2A170CF3"/>
    <w:rsid w:val="2A433E1C"/>
    <w:rsid w:val="2A9A40E9"/>
    <w:rsid w:val="2A9A7E74"/>
    <w:rsid w:val="2AF1162C"/>
    <w:rsid w:val="2B043722"/>
    <w:rsid w:val="2B183F74"/>
    <w:rsid w:val="2B673551"/>
    <w:rsid w:val="2B965DFD"/>
    <w:rsid w:val="2B9F3FE3"/>
    <w:rsid w:val="2BA84F5D"/>
    <w:rsid w:val="2C5C2CDF"/>
    <w:rsid w:val="2C7914C7"/>
    <w:rsid w:val="2D1B1097"/>
    <w:rsid w:val="2D4C6371"/>
    <w:rsid w:val="2D5D34D7"/>
    <w:rsid w:val="2D7C03D1"/>
    <w:rsid w:val="2DA0168D"/>
    <w:rsid w:val="2DA84D0B"/>
    <w:rsid w:val="2E1E5D1D"/>
    <w:rsid w:val="2E771C70"/>
    <w:rsid w:val="2E815C75"/>
    <w:rsid w:val="2E82561B"/>
    <w:rsid w:val="2ED146F5"/>
    <w:rsid w:val="2EFC023B"/>
    <w:rsid w:val="2F0A1DD8"/>
    <w:rsid w:val="2F0B2C52"/>
    <w:rsid w:val="2F1B2CCD"/>
    <w:rsid w:val="2F3C6E3B"/>
    <w:rsid w:val="2F4B283D"/>
    <w:rsid w:val="300E1BBE"/>
    <w:rsid w:val="300E7D19"/>
    <w:rsid w:val="30BD642D"/>
    <w:rsid w:val="30D508CE"/>
    <w:rsid w:val="31137A78"/>
    <w:rsid w:val="31241BCE"/>
    <w:rsid w:val="312D46D6"/>
    <w:rsid w:val="315A2464"/>
    <w:rsid w:val="31641C18"/>
    <w:rsid w:val="316B11ED"/>
    <w:rsid w:val="31AB4537"/>
    <w:rsid w:val="31AE2271"/>
    <w:rsid w:val="320016EF"/>
    <w:rsid w:val="320B7C1D"/>
    <w:rsid w:val="321C117B"/>
    <w:rsid w:val="32474D44"/>
    <w:rsid w:val="327356BE"/>
    <w:rsid w:val="327F7A54"/>
    <w:rsid w:val="328970DD"/>
    <w:rsid w:val="32E1391F"/>
    <w:rsid w:val="32FA3191"/>
    <w:rsid w:val="33361A01"/>
    <w:rsid w:val="333A06C6"/>
    <w:rsid w:val="333B6D80"/>
    <w:rsid w:val="33571560"/>
    <w:rsid w:val="3370636C"/>
    <w:rsid w:val="33CC520E"/>
    <w:rsid w:val="34852C17"/>
    <w:rsid w:val="34964470"/>
    <w:rsid w:val="34BD478C"/>
    <w:rsid w:val="34D82623"/>
    <w:rsid w:val="35292A87"/>
    <w:rsid w:val="357038B6"/>
    <w:rsid w:val="35AF4110"/>
    <w:rsid w:val="35BC5B65"/>
    <w:rsid w:val="35CC7563"/>
    <w:rsid w:val="35D0452D"/>
    <w:rsid w:val="36777520"/>
    <w:rsid w:val="369A1B0B"/>
    <w:rsid w:val="370D360D"/>
    <w:rsid w:val="379473A8"/>
    <w:rsid w:val="37A04DF0"/>
    <w:rsid w:val="37A2354F"/>
    <w:rsid w:val="37B41D66"/>
    <w:rsid w:val="384A70E6"/>
    <w:rsid w:val="386366C3"/>
    <w:rsid w:val="38E61B78"/>
    <w:rsid w:val="39314146"/>
    <w:rsid w:val="397F3EFA"/>
    <w:rsid w:val="39B86112"/>
    <w:rsid w:val="39B90834"/>
    <w:rsid w:val="39DC2E23"/>
    <w:rsid w:val="3A1135D8"/>
    <w:rsid w:val="3A2B4818"/>
    <w:rsid w:val="3A377CF9"/>
    <w:rsid w:val="3A46665F"/>
    <w:rsid w:val="3A747638"/>
    <w:rsid w:val="3A761D04"/>
    <w:rsid w:val="3A91382E"/>
    <w:rsid w:val="3AA12657"/>
    <w:rsid w:val="3B3B7BAC"/>
    <w:rsid w:val="3B50724A"/>
    <w:rsid w:val="3B8973D0"/>
    <w:rsid w:val="3BB50C28"/>
    <w:rsid w:val="3BF3297A"/>
    <w:rsid w:val="3C4949C8"/>
    <w:rsid w:val="3C636190"/>
    <w:rsid w:val="3C8D7354"/>
    <w:rsid w:val="3CF56C2E"/>
    <w:rsid w:val="3D1962FA"/>
    <w:rsid w:val="3D1E72DD"/>
    <w:rsid w:val="3D640339"/>
    <w:rsid w:val="3D7105C5"/>
    <w:rsid w:val="3D972D6C"/>
    <w:rsid w:val="3D984999"/>
    <w:rsid w:val="3DA8698D"/>
    <w:rsid w:val="3DD3756B"/>
    <w:rsid w:val="3DEE6C83"/>
    <w:rsid w:val="3E124400"/>
    <w:rsid w:val="3E6736A9"/>
    <w:rsid w:val="3E8F176C"/>
    <w:rsid w:val="3EBA163D"/>
    <w:rsid w:val="3EF558A4"/>
    <w:rsid w:val="3F3245F8"/>
    <w:rsid w:val="3F4D06F8"/>
    <w:rsid w:val="3F665E70"/>
    <w:rsid w:val="3F6A2FA5"/>
    <w:rsid w:val="3FB06966"/>
    <w:rsid w:val="3FCE5DD7"/>
    <w:rsid w:val="40070DC3"/>
    <w:rsid w:val="40363281"/>
    <w:rsid w:val="403930AD"/>
    <w:rsid w:val="404D09D1"/>
    <w:rsid w:val="40AE3F58"/>
    <w:rsid w:val="40EE7C29"/>
    <w:rsid w:val="41101C45"/>
    <w:rsid w:val="41415140"/>
    <w:rsid w:val="41700E89"/>
    <w:rsid w:val="41A42969"/>
    <w:rsid w:val="41B52F7F"/>
    <w:rsid w:val="41D15FB5"/>
    <w:rsid w:val="42522551"/>
    <w:rsid w:val="42566FFC"/>
    <w:rsid w:val="42C7609D"/>
    <w:rsid w:val="42CF36C3"/>
    <w:rsid w:val="43225BB5"/>
    <w:rsid w:val="43252C75"/>
    <w:rsid w:val="43466FEE"/>
    <w:rsid w:val="434746FA"/>
    <w:rsid w:val="439300ED"/>
    <w:rsid w:val="439E3AE3"/>
    <w:rsid w:val="43FB376B"/>
    <w:rsid w:val="44246D0C"/>
    <w:rsid w:val="442B37BA"/>
    <w:rsid w:val="445E4BFE"/>
    <w:rsid w:val="44A46BFE"/>
    <w:rsid w:val="44C737E8"/>
    <w:rsid w:val="45194E76"/>
    <w:rsid w:val="45335910"/>
    <w:rsid w:val="4549359A"/>
    <w:rsid w:val="454E5502"/>
    <w:rsid w:val="456C120B"/>
    <w:rsid w:val="45875AB3"/>
    <w:rsid w:val="45886064"/>
    <w:rsid w:val="45B13FC0"/>
    <w:rsid w:val="45F3013B"/>
    <w:rsid w:val="45FA0E36"/>
    <w:rsid w:val="46634EC0"/>
    <w:rsid w:val="466E5BC8"/>
    <w:rsid w:val="46E9531A"/>
    <w:rsid w:val="46FA065C"/>
    <w:rsid w:val="472F2C84"/>
    <w:rsid w:val="47701031"/>
    <w:rsid w:val="478173E4"/>
    <w:rsid w:val="47AB70C9"/>
    <w:rsid w:val="47C40559"/>
    <w:rsid w:val="48433810"/>
    <w:rsid w:val="4846445E"/>
    <w:rsid w:val="48960842"/>
    <w:rsid w:val="48A230F8"/>
    <w:rsid w:val="48E03A9E"/>
    <w:rsid w:val="49111344"/>
    <w:rsid w:val="492813B0"/>
    <w:rsid w:val="492F4ED0"/>
    <w:rsid w:val="493F44BE"/>
    <w:rsid w:val="49593B6E"/>
    <w:rsid w:val="496507AA"/>
    <w:rsid w:val="49805FEC"/>
    <w:rsid w:val="498960FB"/>
    <w:rsid w:val="4A6E4197"/>
    <w:rsid w:val="4A836F8D"/>
    <w:rsid w:val="4A920BFE"/>
    <w:rsid w:val="4A9A4746"/>
    <w:rsid w:val="4ACC7E2F"/>
    <w:rsid w:val="4AF65100"/>
    <w:rsid w:val="4B0D4EA5"/>
    <w:rsid w:val="4B9B0E47"/>
    <w:rsid w:val="4BA623F4"/>
    <w:rsid w:val="4BCA15D8"/>
    <w:rsid w:val="4BFA18FE"/>
    <w:rsid w:val="4C084A32"/>
    <w:rsid w:val="4C3A77FD"/>
    <w:rsid w:val="4D613567"/>
    <w:rsid w:val="4DAB321C"/>
    <w:rsid w:val="4DC63DD2"/>
    <w:rsid w:val="4DE952CA"/>
    <w:rsid w:val="4DF03585"/>
    <w:rsid w:val="4E315359"/>
    <w:rsid w:val="4E32619D"/>
    <w:rsid w:val="4E385A6D"/>
    <w:rsid w:val="4E464F87"/>
    <w:rsid w:val="4E5E7044"/>
    <w:rsid w:val="4F2C3A5F"/>
    <w:rsid w:val="4F417362"/>
    <w:rsid w:val="4F820E7C"/>
    <w:rsid w:val="4FED6DB6"/>
    <w:rsid w:val="500012A3"/>
    <w:rsid w:val="50193662"/>
    <w:rsid w:val="50DF3F45"/>
    <w:rsid w:val="50E11852"/>
    <w:rsid w:val="515A66A4"/>
    <w:rsid w:val="515D09F7"/>
    <w:rsid w:val="518E2098"/>
    <w:rsid w:val="522C558E"/>
    <w:rsid w:val="525F3A23"/>
    <w:rsid w:val="527503E6"/>
    <w:rsid w:val="52843F9E"/>
    <w:rsid w:val="528A50EE"/>
    <w:rsid w:val="52A27B68"/>
    <w:rsid w:val="52AA20B0"/>
    <w:rsid w:val="530A5D96"/>
    <w:rsid w:val="53436CFC"/>
    <w:rsid w:val="53714B49"/>
    <w:rsid w:val="538845E9"/>
    <w:rsid w:val="538C7A28"/>
    <w:rsid w:val="53CF5164"/>
    <w:rsid w:val="53E04874"/>
    <w:rsid w:val="53E93DFC"/>
    <w:rsid w:val="5407213D"/>
    <w:rsid w:val="540815C6"/>
    <w:rsid w:val="54194AF9"/>
    <w:rsid w:val="54435A1B"/>
    <w:rsid w:val="54BD666A"/>
    <w:rsid w:val="54D40BD2"/>
    <w:rsid w:val="5513049A"/>
    <w:rsid w:val="551C1991"/>
    <w:rsid w:val="5575783B"/>
    <w:rsid w:val="55944A7E"/>
    <w:rsid w:val="55C26A0D"/>
    <w:rsid w:val="562B33E0"/>
    <w:rsid w:val="565F683C"/>
    <w:rsid w:val="568E0835"/>
    <w:rsid w:val="56946E14"/>
    <w:rsid w:val="56B063AB"/>
    <w:rsid w:val="56CE492D"/>
    <w:rsid w:val="570205CF"/>
    <w:rsid w:val="57527173"/>
    <w:rsid w:val="578B549B"/>
    <w:rsid w:val="580D623A"/>
    <w:rsid w:val="584A642D"/>
    <w:rsid w:val="584C6876"/>
    <w:rsid w:val="586E22C6"/>
    <w:rsid w:val="587D2CC6"/>
    <w:rsid w:val="589B44FA"/>
    <w:rsid w:val="58A04CE0"/>
    <w:rsid w:val="58B67F4B"/>
    <w:rsid w:val="58D27B58"/>
    <w:rsid w:val="58EF280C"/>
    <w:rsid w:val="591028B6"/>
    <w:rsid w:val="59197F84"/>
    <w:rsid w:val="593A1D9A"/>
    <w:rsid w:val="59A27A8A"/>
    <w:rsid w:val="59F8578C"/>
    <w:rsid w:val="5A5F4617"/>
    <w:rsid w:val="5B2E1860"/>
    <w:rsid w:val="5B36052D"/>
    <w:rsid w:val="5B4665C7"/>
    <w:rsid w:val="5B5451A4"/>
    <w:rsid w:val="5B8A627B"/>
    <w:rsid w:val="5BD570EC"/>
    <w:rsid w:val="5C846A59"/>
    <w:rsid w:val="5CB134AD"/>
    <w:rsid w:val="5CE03018"/>
    <w:rsid w:val="5D1D0118"/>
    <w:rsid w:val="5D2274F6"/>
    <w:rsid w:val="5D3001A5"/>
    <w:rsid w:val="5D5C2672"/>
    <w:rsid w:val="5D902DC4"/>
    <w:rsid w:val="5DD65F98"/>
    <w:rsid w:val="5DE07719"/>
    <w:rsid w:val="5E0B4C57"/>
    <w:rsid w:val="5E6A46B4"/>
    <w:rsid w:val="5ED5037A"/>
    <w:rsid w:val="5EEF38B9"/>
    <w:rsid w:val="5F194610"/>
    <w:rsid w:val="5F4F3DE4"/>
    <w:rsid w:val="5F992C4A"/>
    <w:rsid w:val="5FC2543E"/>
    <w:rsid w:val="5FD0522E"/>
    <w:rsid w:val="6028099A"/>
    <w:rsid w:val="60322581"/>
    <w:rsid w:val="60365412"/>
    <w:rsid w:val="603823A2"/>
    <w:rsid w:val="604F4637"/>
    <w:rsid w:val="605259F1"/>
    <w:rsid w:val="60676ABB"/>
    <w:rsid w:val="606A02BE"/>
    <w:rsid w:val="60807EFD"/>
    <w:rsid w:val="60DB1E2A"/>
    <w:rsid w:val="60DE379A"/>
    <w:rsid w:val="60E90E73"/>
    <w:rsid w:val="61055D85"/>
    <w:rsid w:val="616D12BA"/>
    <w:rsid w:val="617B53D4"/>
    <w:rsid w:val="61B76D74"/>
    <w:rsid w:val="61BC1984"/>
    <w:rsid w:val="62037438"/>
    <w:rsid w:val="624C760A"/>
    <w:rsid w:val="625E3757"/>
    <w:rsid w:val="626C61BB"/>
    <w:rsid w:val="62A16054"/>
    <w:rsid w:val="62A87B11"/>
    <w:rsid w:val="62A96030"/>
    <w:rsid w:val="62DC38CD"/>
    <w:rsid w:val="62F32BC4"/>
    <w:rsid w:val="6315759D"/>
    <w:rsid w:val="63353602"/>
    <w:rsid w:val="63466D41"/>
    <w:rsid w:val="635B4DFF"/>
    <w:rsid w:val="637C7AED"/>
    <w:rsid w:val="639E05C3"/>
    <w:rsid w:val="63A727DC"/>
    <w:rsid w:val="63D67D52"/>
    <w:rsid w:val="63F408D3"/>
    <w:rsid w:val="63F5139D"/>
    <w:rsid w:val="63F80234"/>
    <w:rsid w:val="64151F1C"/>
    <w:rsid w:val="645041DE"/>
    <w:rsid w:val="649265A9"/>
    <w:rsid w:val="64C678EB"/>
    <w:rsid w:val="64D751DA"/>
    <w:rsid w:val="64DE0F64"/>
    <w:rsid w:val="65490499"/>
    <w:rsid w:val="654A0B7C"/>
    <w:rsid w:val="65B0025D"/>
    <w:rsid w:val="65DA13AA"/>
    <w:rsid w:val="66042102"/>
    <w:rsid w:val="66393AE1"/>
    <w:rsid w:val="663D1E31"/>
    <w:rsid w:val="66764012"/>
    <w:rsid w:val="66970BB1"/>
    <w:rsid w:val="66CB6704"/>
    <w:rsid w:val="670A1227"/>
    <w:rsid w:val="673F7C18"/>
    <w:rsid w:val="676205BC"/>
    <w:rsid w:val="67631AFC"/>
    <w:rsid w:val="67A1716E"/>
    <w:rsid w:val="67CD5DB8"/>
    <w:rsid w:val="67F14A71"/>
    <w:rsid w:val="680B5073"/>
    <w:rsid w:val="68325439"/>
    <w:rsid w:val="684A32AB"/>
    <w:rsid w:val="689D6172"/>
    <w:rsid w:val="68A93026"/>
    <w:rsid w:val="696305C1"/>
    <w:rsid w:val="69682477"/>
    <w:rsid w:val="69746CD2"/>
    <w:rsid w:val="69CA300F"/>
    <w:rsid w:val="69FE7AF8"/>
    <w:rsid w:val="6A5B4ABD"/>
    <w:rsid w:val="6AAC61CC"/>
    <w:rsid w:val="6B267D2B"/>
    <w:rsid w:val="6B3A5235"/>
    <w:rsid w:val="6B53016F"/>
    <w:rsid w:val="6B716EE6"/>
    <w:rsid w:val="6B754171"/>
    <w:rsid w:val="6B8D3FCF"/>
    <w:rsid w:val="6B92438B"/>
    <w:rsid w:val="6C347BC6"/>
    <w:rsid w:val="6C4155BB"/>
    <w:rsid w:val="6C596EAA"/>
    <w:rsid w:val="6C803F2F"/>
    <w:rsid w:val="6C945A82"/>
    <w:rsid w:val="6CDB4705"/>
    <w:rsid w:val="6CE21451"/>
    <w:rsid w:val="6CE34CB7"/>
    <w:rsid w:val="6D082755"/>
    <w:rsid w:val="6D3A1B42"/>
    <w:rsid w:val="6D9B7EAD"/>
    <w:rsid w:val="6DB50913"/>
    <w:rsid w:val="6DBD3B9A"/>
    <w:rsid w:val="6E0856DF"/>
    <w:rsid w:val="6EA16A10"/>
    <w:rsid w:val="6EB363DA"/>
    <w:rsid w:val="6EC472F9"/>
    <w:rsid w:val="6ED4571E"/>
    <w:rsid w:val="6ED74B23"/>
    <w:rsid w:val="6F0F267A"/>
    <w:rsid w:val="6F113665"/>
    <w:rsid w:val="6F1E4DCE"/>
    <w:rsid w:val="6F671639"/>
    <w:rsid w:val="6FD31B0C"/>
    <w:rsid w:val="6FDA3887"/>
    <w:rsid w:val="6FE10840"/>
    <w:rsid w:val="70C3036D"/>
    <w:rsid w:val="70E61FE3"/>
    <w:rsid w:val="71473652"/>
    <w:rsid w:val="71855313"/>
    <w:rsid w:val="718E4C5A"/>
    <w:rsid w:val="71BC1C6C"/>
    <w:rsid w:val="71D12409"/>
    <w:rsid w:val="71E33E1C"/>
    <w:rsid w:val="71EF2DDD"/>
    <w:rsid w:val="72150605"/>
    <w:rsid w:val="722F5D02"/>
    <w:rsid w:val="72316379"/>
    <w:rsid w:val="725F662B"/>
    <w:rsid w:val="72BF6F82"/>
    <w:rsid w:val="72CB600C"/>
    <w:rsid w:val="73601A63"/>
    <w:rsid w:val="737E221F"/>
    <w:rsid w:val="73814997"/>
    <w:rsid w:val="739647E7"/>
    <w:rsid w:val="73D7057D"/>
    <w:rsid w:val="73DE6AFC"/>
    <w:rsid w:val="73F36F79"/>
    <w:rsid w:val="741E48ED"/>
    <w:rsid w:val="74376FBF"/>
    <w:rsid w:val="748B2B58"/>
    <w:rsid w:val="74C56FB3"/>
    <w:rsid w:val="75034F5C"/>
    <w:rsid w:val="7532128B"/>
    <w:rsid w:val="7537140E"/>
    <w:rsid w:val="755A43E6"/>
    <w:rsid w:val="7571253D"/>
    <w:rsid w:val="75C37A59"/>
    <w:rsid w:val="75F402E0"/>
    <w:rsid w:val="764A1032"/>
    <w:rsid w:val="767C4B96"/>
    <w:rsid w:val="76E90AB0"/>
    <w:rsid w:val="771627F9"/>
    <w:rsid w:val="771823F4"/>
    <w:rsid w:val="77392BE0"/>
    <w:rsid w:val="773A788C"/>
    <w:rsid w:val="77932D48"/>
    <w:rsid w:val="77AC0390"/>
    <w:rsid w:val="782B3F0D"/>
    <w:rsid w:val="785226E9"/>
    <w:rsid w:val="785B7991"/>
    <w:rsid w:val="78687A59"/>
    <w:rsid w:val="78C61F3A"/>
    <w:rsid w:val="78D50A9A"/>
    <w:rsid w:val="78F106A8"/>
    <w:rsid w:val="79061911"/>
    <w:rsid w:val="792F7437"/>
    <w:rsid w:val="798916D6"/>
    <w:rsid w:val="799B5B81"/>
    <w:rsid w:val="79CE67ED"/>
    <w:rsid w:val="7A0D3556"/>
    <w:rsid w:val="7A1245C9"/>
    <w:rsid w:val="7A2F0C6B"/>
    <w:rsid w:val="7A4E08E9"/>
    <w:rsid w:val="7A6547F5"/>
    <w:rsid w:val="7A794DC0"/>
    <w:rsid w:val="7AE04BEA"/>
    <w:rsid w:val="7B622B96"/>
    <w:rsid w:val="7B6268DE"/>
    <w:rsid w:val="7BF37996"/>
    <w:rsid w:val="7BFA2A8A"/>
    <w:rsid w:val="7C01438D"/>
    <w:rsid w:val="7C3770E1"/>
    <w:rsid w:val="7C4F0333"/>
    <w:rsid w:val="7C8F0614"/>
    <w:rsid w:val="7C9A17B6"/>
    <w:rsid w:val="7C9B1472"/>
    <w:rsid w:val="7CA4258B"/>
    <w:rsid w:val="7CCD6A79"/>
    <w:rsid w:val="7CE53AF6"/>
    <w:rsid w:val="7CE83272"/>
    <w:rsid w:val="7D554723"/>
    <w:rsid w:val="7D9B5EDE"/>
    <w:rsid w:val="7DE63864"/>
    <w:rsid w:val="7E376079"/>
    <w:rsid w:val="7E494886"/>
    <w:rsid w:val="7E4D1A56"/>
    <w:rsid w:val="7E8835C6"/>
    <w:rsid w:val="7F376077"/>
    <w:rsid w:val="7F4206DD"/>
    <w:rsid w:val="7F872133"/>
    <w:rsid w:val="7F92644E"/>
    <w:rsid w:val="7F936185"/>
    <w:rsid w:val="7FB2439C"/>
    <w:rsid w:val="7FF65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Body Text"/>
    <w:basedOn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unhideWhenUsed/>
    <w:qFormat/>
    <w:uiPriority w:val="39"/>
  </w:style>
  <w:style w:type="paragraph" w:styleId="9">
    <w:name w:val="footnote text"/>
    <w:basedOn w:val="1"/>
    <w:qFormat/>
    <w:uiPriority w:val="0"/>
    <w:pPr>
      <w:snapToGrid w:val="0"/>
      <w:jc w:val="left"/>
    </w:pPr>
    <w:rPr>
      <w:sz w:val="18"/>
      <w:szCs w:val="18"/>
    </w:rPr>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0"/>
    <w:rPr>
      <w:rFonts w:ascii="Times New Roman" w:hAnsi="Times New Roman" w:eastAsia="宋体" w:cs="Times New Roman"/>
    </w:rPr>
  </w:style>
  <w:style w:type="paragraph" w:styleId="12">
    <w:name w:val="Title"/>
    <w:basedOn w:val="1"/>
    <w:qFormat/>
    <w:uiPriority w:val="99"/>
    <w:pPr>
      <w:jc w:val="center"/>
      <w:outlineLvl w:val="0"/>
    </w:pPr>
    <w:rPr>
      <w:rFonts w:ascii="Arial" w:hAnsi="Arial"/>
      <w:b/>
      <w:bCs/>
      <w:sz w:val="32"/>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Emphasis"/>
    <w:basedOn w:val="15"/>
    <w:qFormat/>
    <w:uiPriority w:val="0"/>
    <w:rPr>
      <w:i/>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paragraph" w:customStyle="1" w:styleId="18">
    <w:name w:val="Heading1"/>
    <w:basedOn w:val="1"/>
    <w:next w:val="1"/>
    <w:qFormat/>
    <w:uiPriority w:val="0"/>
    <w:pPr>
      <w:keepNext/>
      <w:keepLines/>
      <w:spacing w:before="340" w:after="330" w:line="578" w:lineRule="auto"/>
    </w:pPr>
    <w:rPr>
      <w:b/>
      <w:bCs/>
      <w:kern w:val="44"/>
      <w:sz w:val="44"/>
      <w:szCs w:val="44"/>
    </w:rPr>
  </w:style>
  <w:style w:type="paragraph" w:customStyle="1" w:styleId="19">
    <w:name w:val="Char Char Char Char Char Char Char Char Char Char Char Char Char Char Char Char Char Char Char"/>
    <w:basedOn w:val="1"/>
    <w:qFormat/>
    <w:uiPriority w:val="0"/>
    <w:pPr>
      <w:widowControl/>
      <w:spacing w:after="160" w:line="240" w:lineRule="exact"/>
      <w:jc w:val="left"/>
    </w:pPr>
    <w:rPr>
      <w:rFonts w:ascii="Times New Roman" w:hAnsi="Times New Roman" w:eastAsia="宋体" w:cs="Times New Roman"/>
    </w:rPr>
  </w:style>
  <w:style w:type="character" w:customStyle="1" w:styleId="20">
    <w:name w:val="bjh-p"/>
    <w:basedOn w:val="1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1086</Words>
  <Characters>1131</Characters>
  <Lines>0</Lines>
  <Paragraphs>0</Paragraphs>
  <TotalTime>11</TotalTime>
  <ScaleCrop>false</ScaleCrop>
  <LinksUpToDate>false</LinksUpToDate>
  <CharactersWithSpaces>1176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2020-12-11T11:35:00Z</dcterms:created>
  <dc:creator>dell</dc:creator>
  <cp:lastModifiedBy>Ｓòrγy︶ㄣ殤心往事</cp:lastModifiedBy>
  <cp:lastPrinted>2021-01-30T02:40:00Z</cp:lastPrinted>
  <dcterms:modified xsi:type="dcterms:W3CDTF">2024-11-22T01:27:40Z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25431E63220C4CAF86750D2BED304D9D_12</vt:lpwstr>
  </property>
</Properties>
</file>